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pStyle w:val="BodyText"/>
        <w:spacing w:before="1"/>
        <w:rPr>
          <w:rFonts w:ascii="Arial Black"/>
          <w:b/>
          <w:i/>
          <w:sz w:val="13"/>
        </w:rPr>
      </w:pPr>
      <w:r>
        <w:rPr/>
        <w:pict>
          <v:group style="position:absolute;margin-left:42.519699pt;margin-top:11.194498pt;width:511.3pt;height:37.75pt;mso-position-horizontal-relative:page;mso-position-vertical-relative:paragraph;z-index:-251656192;mso-wrap-distance-left:0;mso-wrap-distance-right:0" coordorigin="850,224" coordsize="10226,755">
            <v:shape style="position:absolute;left:850;top:223;width:10226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9;top:420;width:3758;height:3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3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QTS-Gateway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for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Fanless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Embedded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System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wtih </w:t>
                    </w:r>
                    <w:r>
                      <w:rPr>
                        <w:b/>
                        <w:i/>
                        <w:sz w:val="17"/>
                      </w:rPr>
                      <w:t>Intel® Celeron® J1900</w:t>
                    </w:r>
                    <w:r>
                      <w:rPr>
                        <w:b/>
                        <w:i/>
                        <w:spacing w:val="-3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z w:val="17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963;top:339;width:4514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5"/>
                        <w:w w:val="110"/>
                        <w:sz w:val="56"/>
                      </w:rPr>
                      <w:t>ECW-281B-QGW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0"/>
        <w:rPr>
          <w:rFonts w:ascii="Arial Black"/>
          <w:b/>
          <w:i/>
          <w:sz w:val="20"/>
        </w:rPr>
      </w:pPr>
    </w:p>
    <w:p>
      <w:pPr>
        <w:pStyle w:val="Heading1"/>
        <w:spacing w:before="237"/>
        <w:ind w:left="5291" w:right="4374"/>
        <w:jc w:val="center"/>
        <w:rPr>
          <w:i/>
        </w:rPr>
      </w:pPr>
      <w:r>
        <w:rPr/>
        <w:drawing>
          <wp:anchor distT="0" distB="0" distL="0" distR="0" allowOverlap="1" layoutInCell="1" locked="0" behindDoc="1" simplePos="0" relativeHeight="251213824">
            <wp:simplePos x="0" y="0"/>
            <wp:positionH relativeFrom="page">
              <wp:posOffset>710573</wp:posOffset>
            </wp:positionH>
            <wp:positionV relativeFrom="paragraph">
              <wp:posOffset>-56640</wp:posOffset>
            </wp:positionV>
            <wp:extent cx="2673426" cy="220353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426" cy="220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Features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138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Fanless system with Intel® Celeron® J1900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2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Supports four COM ports (three RS-232, one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RS-422/485)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3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9~36V DC input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support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3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Wide operating temperature: -20°C ~ 60°C with</w:t>
      </w:r>
      <w:r>
        <w:rPr>
          <w:spacing w:val="-19"/>
          <w:w w:val="110"/>
          <w:sz w:val="16"/>
        </w:rPr>
        <w:t> </w:t>
      </w:r>
      <w:r>
        <w:rPr>
          <w:w w:val="110"/>
          <w:sz w:val="16"/>
        </w:rPr>
        <w:t>SSD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2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Pre-install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QTS-Gateway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3870000</wp:posOffset>
            </wp:positionH>
            <wp:positionV relativeFrom="paragraph">
              <wp:posOffset>217889</wp:posOffset>
            </wp:positionV>
            <wp:extent cx="418412" cy="423862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12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4397031</wp:posOffset>
            </wp:positionH>
            <wp:positionV relativeFrom="paragraph">
              <wp:posOffset>260112</wp:posOffset>
            </wp:positionV>
            <wp:extent cx="604997" cy="38100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9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0.039215pt;margin-top:16.741777pt;width:40.4pt;height:36.75pt;mso-position-horizontal-relative:page;mso-position-vertical-relative:paragraph;z-index:-251652096;mso-wrap-distance-left:0;mso-wrap-distance-right:0" coordorigin="8001,335" coordsize="808,735">
            <v:shape style="position:absolute;left:8000;top:334;width:808;height:735" type="#_x0000_t75" stroked="false">
              <v:imagedata r:id="rId9" o:title=""/>
            </v:shape>
            <v:shape style="position:absolute;left:8000;top:334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09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8.22821pt;margin-top:16.740578pt;width:40.5pt;height:36.8pt;mso-position-horizontal-relative:page;mso-position-vertical-relative:paragraph;z-index:-251650048;mso-wrap-distance-left:0;mso-wrap-distance-right:0" coordorigin="8965,335" coordsize="810,736">
            <v:shape style="position:absolute;left:8964;top:334;width:810;height:736" type="#_x0000_t75" stroked="false">
              <v:imagedata r:id="rId10" o:title=""/>
            </v:shape>
            <v:shape style="position:absolute;left:8964;top:334;width:810;height:736" type="#_x0000_t202" filled="false" stroked="false">
              <v:textbox inset="0,0,0,0">
                <w:txbxContent>
                  <w:p>
                    <w:pPr>
                      <w:spacing w:before="176"/>
                      <w:ind w:left="103" w:right="12" w:firstLine="0"/>
                      <w:jc w:val="center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sz w:val="17"/>
                      </w:rPr>
                      <w:t>USB</w:t>
                    </w:r>
                  </w:p>
                  <w:p>
                    <w:pPr>
                      <w:spacing w:before="125"/>
                      <w:ind w:left="103" w:right="103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3.0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8.543488pt;margin-top:16.741879pt;width:40.4pt;height:36.75pt;mso-position-horizontal-relative:page;mso-position-vertical-relative:paragraph;z-index:-251648000;mso-wrap-distance-left:0;mso-wrap-distance-right:0" coordorigin="9971,335" coordsize="808,735">
            <v:shape style="position:absolute;left:9970;top:334;width:808;height:735" type="#_x0000_t75" stroked="false">
              <v:imagedata r:id="rId11" o:title=""/>
            </v:shape>
            <v:shape style="position:absolute;left:9970;top:334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GbE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1"/>
        <w:spacing w:before="94"/>
        <w:rPr>
          <w:i/>
        </w:rPr>
      </w:pPr>
      <w:r>
        <w:rPr>
          <w:i/>
        </w:rPr>
        <w:t>Specifications</w:t>
      </w:r>
    </w:p>
    <w:p>
      <w:pPr>
        <w:pStyle w:val="BodyText"/>
        <w:spacing w:before="10"/>
        <w:rPr>
          <w:rFonts w:ascii="Georgia"/>
          <w:b/>
          <w:i/>
          <w:sz w:val="6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949"/>
        <w:gridCol w:w="3075"/>
      </w:tblGrid>
      <w:tr>
        <w:trPr>
          <w:trHeight w:val="283" w:hRule="atLeast"/>
        </w:trPr>
        <w:tc>
          <w:tcPr>
            <w:tcW w:w="1884" w:type="dxa"/>
            <w:gridSpan w:val="2"/>
            <w:shd w:val="clear" w:color="auto" w:fill="7D7D7D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3075" w:type="dxa"/>
            <w:shd w:val="clear" w:color="auto" w:fill="7D7D7D"/>
          </w:tcPr>
          <w:p>
            <w:pPr>
              <w:pStyle w:val="TableParagraph"/>
              <w:spacing w:before="60"/>
              <w:ind w:left="5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ECW-281B-BT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05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Dimensions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(WxHxD) (mm)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1"/>
              <w:ind w:left="90"/>
              <w:rPr>
                <w:sz w:val="12"/>
              </w:rPr>
            </w:pPr>
            <w:r>
              <w:rPr>
                <w:sz w:val="12"/>
              </w:rPr>
              <w:t>229 x 64 x 132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Construction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1"/>
              <w:ind w:left="57"/>
              <w:rPr>
                <w:sz w:val="12"/>
              </w:rPr>
            </w:pPr>
            <w:r>
              <w:rPr>
                <w:sz w:val="12"/>
              </w:rPr>
              <w:t>Aluminum alloy with heavy duty metal</w:t>
            </w:r>
          </w:p>
        </w:tc>
      </w:tr>
      <w:tr>
        <w:trPr>
          <w:trHeight w:val="301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line="140" w:lineRule="atLeast" w:before="9"/>
              <w:ind w:right="124"/>
              <w:rPr>
                <w:b/>
                <w:sz w:val="12"/>
              </w:rPr>
            </w:pPr>
            <w:r>
              <w:rPr>
                <w:b/>
                <w:sz w:val="12"/>
              </w:rPr>
              <w:t>Motherboard Model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81"/>
              <w:ind w:left="57"/>
              <w:rPr>
                <w:sz w:val="12"/>
              </w:rPr>
            </w:pPr>
            <w:r>
              <w:rPr>
                <w:sz w:val="12"/>
              </w:rPr>
              <w:t>WAFER-BT-i1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SBC Size (mm)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3.5", 146 x 102</w:t>
            </w:r>
          </w:p>
        </w:tc>
      </w:tr>
      <w:tr>
        <w:trPr>
          <w:trHeight w:val="30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81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t>Intel® Celeron® J1900 processor</w:t>
            </w:r>
          </w:p>
          <w:p>
            <w:pPr>
              <w:pStyle w:val="TableParagraph"/>
              <w:spacing w:line="130" w:lineRule="exact" w:before="2"/>
              <w:ind w:left="57"/>
              <w:rPr>
                <w:sz w:val="12"/>
              </w:rPr>
            </w:pPr>
            <w:r>
              <w:rPr>
                <w:sz w:val="12"/>
              </w:rPr>
              <w:t>(2 GHz, quad-core, 2 MB cache, TDP=10W)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SoC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System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Memory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t>1 x 204-pin 1066/1333 MHz single-channel DDR3L</w:t>
            </w:r>
          </w:p>
          <w:p>
            <w:pPr>
              <w:pStyle w:val="TableParagraph"/>
              <w:spacing w:line="131" w:lineRule="exact" w:before="22"/>
              <w:ind w:left="57"/>
              <w:rPr>
                <w:sz w:val="12"/>
              </w:rPr>
            </w:pPr>
            <w:r>
              <w:rPr>
                <w:sz w:val="12"/>
              </w:rPr>
              <w:t>SO-DIMM (system max. 8 GB)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IPMI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iRIS Solution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 x iRIS-1010-R10 (optional)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2.5” SATA 3Gb/s HDD bay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3.0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2.0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LAN 1: PCIe GbE by Intel® I210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controller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LAN 2: PCIe GbE by Intel® </w:t>
            </w:r>
            <w:r>
              <w:rPr>
                <w:spacing w:val="-3"/>
                <w:sz w:val="12"/>
              </w:rPr>
              <w:t>I211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controller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3 x RS-232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1 x RS-422/485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8-bit digital I/O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VGA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VGA: Up to 2560x1600@60Hz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Line out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Expansion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Half-size PCIe Mini card (only for iRIS)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8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3-pin terminal: 9 V~36 V DC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Consumption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hyperlink r:id="rId12">
              <w:r>
                <w:rPr>
                  <w:sz w:val="12"/>
                </w:rPr>
                <w:t>12V@1.45A </w:t>
              </w:r>
            </w:hyperlink>
            <w:r>
              <w:rPr>
                <w:sz w:val="12"/>
              </w:rPr>
              <w:t>(with Intel® Celeron® J1900 CPU and one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8 GB 1333 MHz DDR3 memory)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4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Wall mount, VESA 100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-20°C~60°C with air flow (SSD),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10% ~ 95%, non-condensing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91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Shock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Half sine wave 5G, 11ms 3-axis (non-operational)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Vibration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MIL-STD-810F 514.5C-1 (HDD)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Weight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(Net/Gross)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2.1 kg / 3.9 kg</w:t>
            </w:r>
          </w:p>
        </w:tc>
      </w:tr>
    </w:tbl>
    <w:p>
      <w:pPr>
        <w:spacing w:before="161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spacing w:before="97"/>
        <w:ind w:left="114" w:right="0" w:firstLine="0"/>
        <w:jc w:val="left"/>
        <w:rPr>
          <w:rFonts w:ascii="Georgia"/>
          <w:b/>
          <w:i/>
          <w:sz w:val="14"/>
        </w:rPr>
      </w:pPr>
      <w:r>
        <w:rPr/>
        <w:br w:type="column"/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rPr>
          <w:rFonts w:ascii="Georgia"/>
          <w:b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4292489</wp:posOffset>
            </wp:positionH>
            <wp:positionV relativeFrom="paragraph">
              <wp:posOffset>208588</wp:posOffset>
            </wp:positionV>
            <wp:extent cx="2325787" cy="2333625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787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Georgia"/>
          <w:b/>
          <w:i/>
          <w:sz w:val="7"/>
        </w:rPr>
      </w:pPr>
    </w:p>
    <w:p>
      <w:pPr>
        <w:pStyle w:val="BodyText"/>
        <w:spacing w:before="0"/>
        <w:ind w:left="1455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208968" cy="962025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6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Heading1"/>
        <w:spacing w:before="246"/>
        <w:rPr>
          <w:i/>
        </w:rPr>
      </w:pPr>
      <w:r>
        <w:rPr>
          <w:i/>
        </w:rPr>
        <w:t>Options</w:t>
      </w:r>
    </w:p>
    <w:p>
      <w:pPr>
        <w:pStyle w:val="BodyText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3146"/>
      </w:tblGrid>
      <w:tr>
        <w:trPr>
          <w:trHeight w:val="240" w:hRule="atLeast"/>
        </w:trPr>
        <w:tc>
          <w:tcPr>
            <w:tcW w:w="1814" w:type="dxa"/>
            <w:shd w:val="clear" w:color="auto" w:fill="C2D08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3146" w:type="dxa"/>
            <w:shd w:val="clear" w:color="auto" w:fill="C2D08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814" w:type="dxa"/>
            <w:shd w:val="clear" w:color="auto" w:fill="E8EDD2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iRIS-1010-R10</w:t>
            </w:r>
          </w:p>
        </w:tc>
        <w:tc>
          <w:tcPr>
            <w:tcW w:w="3146" w:type="dxa"/>
            <w:shd w:val="clear" w:color="auto" w:fill="E8EDD2"/>
          </w:tcPr>
          <w:p>
            <w:pPr>
              <w:pStyle w:val="TableParagraph"/>
              <w:spacing w:line="160" w:lineRule="atLeast" w:before="17"/>
              <w:ind w:right="33"/>
              <w:rPr>
                <w:sz w:val="12"/>
              </w:rPr>
            </w:pPr>
            <w:r>
              <w:rPr>
                <w:sz w:val="12"/>
              </w:rPr>
              <w:t>IPMI 2.0 adapter card with AST1010 BMC chip (W/O KVM over IP function) for PCIe Mini socket interface</w:t>
            </w:r>
          </w:p>
        </w:tc>
      </w:tr>
      <w:tr>
        <w:trPr>
          <w:trHeight w:val="378" w:hRule="atLeast"/>
        </w:trPr>
        <w:tc>
          <w:tcPr>
            <w:tcW w:w="1814" w:type="dxa"/>
            <w:shd w:val="clear" w:color="auto" w:fill="D5DEAE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ECW-281B-BTi-WES7E64-R10</w:t>
            </w:r>
          </w:p>
        </w:tc>
        <w:tc>
          <w:tcPr>
            <w:tcW w:w="3146" w:type="dxa"/>
            <w:shd w:val="clear" w:color="auto" w:fill="D5DEAE"/>
          </w:tcPr>
          <w:p>
            <w:pPr>
              <w:pStyle w:val="TableParagraph"/>
              <w:spacing w:line="160" w:lineRule="atLeast" w:before="17"/>
              <w:ind w:right="5"/>
              <w:rPr>
                <w:sz w:val="12"/>
              </w:rPr>
            </w:pPr>
            <w:r>
              <w:rPr>
                <w:sz w:val="12"/>
              </w:rPr>
              <w:t>OS Image with Windows® Embedded Standard 7 E 64Bit for ECW-281BTi Series, with DVD-ROM, RoHS, R10</w:t>
            </w:r>
          </w:p>
        </w:tc>
      </w:tr>
    </w:tbl>
    <w:p>
      <w:pPr>
        <w:pStyle w:val="BodyText"/>
        <w:spacing w:before="4"/>
        <w:rPr>
          <w:rFonts w:ascii="Georgia"/>
          <w:b/>
          <w:i/>
          <w:sz w:val="24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Packing List</w:t>
      </w:r>
    </w:p>
    <w:p>
      <w:pPr>
        <w:pStyle w:val="BodyText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325" w:hRule="atLeast"/>
        </w:trPr>
        <w:tc>
          <w:tcPr>
            <w:tcW w:w="2480" w:type="dxa"/>
            <w:shd w:val="clear" w:color="auto" w:fill="FCDCB7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  <w:tc>
          <w:tcPr>
            <w:tcW w:w="2480" w:type="dxa"/>
            <w:shd w:val="clear" w:color="auto" w:fill="FCDCB7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Screw set</w:t>
            </w:r>
          </w:p>
        </w:tc>
      </w:tr>
      <w:tr>
        <w:trPr>
          <w:trHeight w:val="325" w:hRule="atLeast"/>
        </w:trPr>
        <w:tc>
          <w:tcPr>
            <w:tcW w:w="2480" w:type="dxa"/>
            <w:shd w:val="clear" w:color="auto" w:fill="FEEEDC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One Key Recovery CD</w:t>
            </w:r>
          </w:p>
        </w:tc>
        <w:tc>
          <w:tcPr>
            <w:tcW w:w="2480" w:type="dxa"/>
            <w:shd w:val="clear" w:color="auto" w:fill="FEEEDC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Utility CD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0" w:bottom="0" w:left="720" w:right="380"/>
          <w:cols w:num="2" w:equalWidth="0">
            <w:col w:w="5139" w:space="106"/>
            <w:col w:w="5565"/>
          </w:cols>
        </w:sectPr>
      </w:pPr>
    </w:p>
    <w:p>
      <w:pPr>
        <w:pStyle w:val="BodyText"/>
        <w:spacing w:before="2"/>
        <w:rPr>
          <w:rFonts w:ascii="Georgia"/>
          <w:b/>
          <w:i/>
          <w:sz w:val="3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71552" coordorigin="0,15653" coordsize="11906,505">
            <v:shape style="position:absolute;left:0;top:15652;width:11906;height:505" type="#_x0000_t75" stroked="false">
              <v:imagedata r:id="rId1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52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ECW-281B-QGW-2018-V10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03680" coordorigin="0,0" coordsize="4936,752">
            <v:shape style="position:absolute;left:0;top:0;width:4936;height:752" type="#_x0000_t75" stroked="false">
              <v:imagedata r:id="rId16" o:title="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8345"/>
      </w:tblGrid>
      <w:tr>
        <w:trPr>
          <w:trHeight w:val="325" w:hRule="atLeast"/>
        </w:trPr>
        <w:tc>
          <w:tcPr>
            <w:tcW w:w="1867" w:type="dxa"/>
            <w:shd w:val="clear" w:color="auto" w:fill="9AD1B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345" w:type="dxa"/>
            <w:shd w:val="clear" w:color="auto" w:fill="9AD1B7"/>
          </w:tcPr>
          <w:p>
            <w:pPr>
              <w:pStyle w:val="TableParagraph"/>
              <w:spacing w:before="93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534" w:hRule="atLeast"/>
        </w:trPr>
        <w:tc>
          <w:tcPr>
            <w:tcW w:w="1867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Georgia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ECW-281BWD-BTi-QGW-R10</w:t>
            </w:r>
          </w:p>
        </w:tc>
        <w:tc>
          <w:tcPr>
            <w:tcW w:w="8345" w:type="dxa"/>
            <w:shd w:val="clear" w:color="auto" w:fill="DBEEE4"/>
          </w:tcPr>
          <w:p>
            <w:pPr>
              <w:pStyle w:val="TableParagraph"/>
              <w:spacing w:before="3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line="278" w:lineRule="auto" w:before="1"/>
              <w:ind w:left="55" w:right="250"/>
              <w:rPr>
                <w:sz w:val="12"/>
              </w:rPr>
            </w:pPr>
            <w:r>
              <w:rPr>
                <w:sz w:val="12"/>
              </w:rPr>
              <w:t>Fanless embedded system with WAFER-BTi-R10,with Intel® Celeron J1900 2GHz, 4 serial ports,with 4GB DDR3L pre-installed SO-DIMM memory, with QTS-Gateway, 9~36VDC in, w/o adapter, black, RoHS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20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48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77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105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34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6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691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19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48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2"/>
      <w:ind w:left="5520" w:hanging="14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0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12V@1.45A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2019-11-14T09:01:56Z</dcterms:created>
  <dcterms:modified xsi:type="dcterms:W3CDTF">2019-11-14T09:01:56Z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2019-11-14T00:00:00Z</vt:filetime>
  </property>
</Properties>
</file>