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36"/>
        </w:trPr>
        <w:tc>
          <w:tcPr>
            <w:tcW w:w="51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7"/>
                <w:szCs w:val="67"/>
                <w:b w:val="1"/>
                <w:bCs w:val="1"/>
                <w:color w:val="00044C"/>
              </w:rPr>
              <w:t>EKI-2712G-4FPI</w:t>
            </w:r>
          </w:p>
        </w:tc>
        <w:tc>
          <w:tcPr>
            <w:tcW w:w="48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>8G+4SFP Port Gigabit Unmanaged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7"/>
        </w:trPr>
        <w:tc>
          <w:tcPr>
            <w:tcW w:w="51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</w:rPr>
              <w:t>Redundant Industrial PoE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512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840" w:type="dxa"/>
            <w:vAlign w:val="bottom"/>
            <w:tcBorders>
              <w:bottom w:val="single" w:sz="8" w:color="00044C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5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3"/>
        </w:trPr>
        <w:tc>
          <w:tcPr>
            <w:tcW w:w="5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44C"/>
              </w:rPr>
              <w:t>Features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5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x IEEE 802.3 af/at PoE Gigabit ports + 4 x SFP ports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5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SFP socket for easy and flexible fiber expansion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5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NEMA TS2 for traffic control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5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EN50121-4 approval for railway trackside deployment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5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-40 ~ 75°C wide-range operating temperature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5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Dual 48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power input and 1 x relay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6"/>
        </w:trPr>
        <w:tc>
          <w:tcPr>
            <w:tcW w:w="5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40" w:type="dxa"/>
            <w:vAlign w:val="bottom"/>
            <w:shd w:val="clear" w:color="auto" w:fill="D9DAE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-2303145</wp:posOffset>
            </wp:positionV>
            <wp:extent cx="3075940" cy="25203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520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5"/>
          <w:szCs w:val="5"/>
          <w:b w:val="1"/>
          <w:bCs w:val="1"/>
          <w:color w:val="595959"/>
        </w:rPr>
        <w:t>COMPLIANT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28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2002/95/EC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Introduction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jc w:val="both"/>
        <w:spacing w:after="0" w:line="348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EKI-2712G-4FPI supports 8 Gigabit IEEE 802.3 af/at PoE ports and 4 SFP (mini-GBIC) ports. They can provide up to 30 watts per port to fulfill high power consumption PD (Power Device). The switch also features a wide -40° to 75°C operating temperature and NEMA TS2 rating, making the switch an ideal solution for use in traffic applications and have successfully passed the EN50121-4 European railway standard requirements of emission and immunity for railway platforms and trackside deployment.</w:t>
      </w:r>
    </w:p>
    <w:p>
      <w:pPr>
        <w:sectPr>
          <w:pgSz w:w="12240" w:h="15930" w:orient="portrait"/>
          <w:cols w:equalWidth="0" w:num="1">
            <w:col w:w="9960"/>
          </w:cols>
          <w:pgMar w:left="1140" w:top="1180" w:right="1140" w:bottom="0" w:gutter="0" w:footer="0" w:header="0"/>
        </w:sect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Specifications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Interface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I/O Port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 x 10/100/1000BASE-T/TX RJ-45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21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4 x SFP (mini-GBIC) port</w:t>
      </w:r>
    </w:p>
    <w:p>
      <w:pPr>
        <w:spacing w:after="0" w:line="28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Debug Port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RS-232 (RJ45)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Power Connector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6-pin screw Terminal Block (including relay)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Physical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Enclosure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Metal Shell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Protection Class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IP 30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Installation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DIN-Rail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Dimensions (W x H x D)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74 x 152 x 105 mm (2.91" x 5.98" x 4.13")</w:t>
      </w:r>
    </w:p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LED Display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System LED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PWR1, PWR2, SYS, and Alarm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21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Port LED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Link / Speed / Activity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Certification</w:t>
      </w:r>
    </w:p>
    <w:p>
      <w:pPr>
        <w:spacing w:after="0" w:line="6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EMI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CE, FCC Class A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Safety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UL61010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EMC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61000-4-2</w:t>
            </w:r>
          </w:p>
        </w:tc>
      </w:tr>
      <w:tr>
        <w:trPr>
          <w:trHeight w:val="186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61000-4-3</w:t>
            </w:r>
          </w:p>
        </w:tc>
      </w:tr>
      <w:tr>
        <w:trPr>
          <w:trHeight w:val="19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61000-4-4</w:t>
            </w:r>
          </w:p>
        </w:tc>
      </w:tr>
      <w:tr>
        <w:trPr>
          <w:trHeight w:val="19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61000-4-5</w:t>
            </w:r>
          </w:p>
        </w:tc>
      </w:tr>
      <w:tr>
        <w:trPr>
          <w:trHeight w:val="19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61000-4-6</w:t>
            </w:r>
          </w:p>
        </w:tc>
      </w:tr>
      <w:tr>
        <w:trPr>
          <w:trHeight w:val="19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61000-4-8</w:t>
            </w:r>
          </w:p>
        </w:tc>
      </w:tr>
      <w:tr>
        <w:trPr>
          <w:trHeight w:val="190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EN50121-4</w:t>
            </w:r>
          </w:p>
        </w:tc>
      </w:tr>
      <w:tr>
        <w:trPr>
          <w:trHeight w:val="222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60068-2-27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60068-2-32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60068-2-6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Traffic control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NEMA TS2</w:t>
            </w:r>
          </w:p>
        </w:tc>
      </w:tr>
      <w:tr>
        <w:trPr>
          <w:trHeight w:val="218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Patent</w:t>
            </w:r>
          </w:p>
        </w:tc>
        <w:tc>
          <w:tcPr>
            <w:tcW w:w="25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http://www.advantech.com/legal/patent</w:t>
            </w:r>
          </w:p>
        </w:tc>
      </w:tr>
    </w:tbl>
    <w:p>
      <w:pPr>
        <w:spacing w:after="0" w:line="261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620" w:space="500"/>
            <w:col w:w="4840"/>
          </w:cols>
          <w:pgMar w:left="1140" w:top="1180" w:right="1140" w:bottom="0" w:gutter="0" w:footer="0" w:header="0"/>
          <w:type w:val="continuous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Environment</w:t>
      </w:r>
    </w:p>
    <w:p>
      <w:pPr>
        <w:spacing w:after="0" w:line="4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9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Operating Temperature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-40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~ 75°C (-40 ~ 167°F)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9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Storage Temperature</w:t>
            </w:r>
          </w:p>
        </w:tc>
        <w:tc>
          <w:tcPr>
            <w:tcW w:w="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-40</w:t>
            </w:r>
          </w:p>
        </w:tc>
        <w:tc>
          <w:tcPr>
            <w:tcW w:w="138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85°C</w:t>
            </w:r>
          </w:p>
        </w:tc>
      </w:tr>
      <w:tr>
        <w:trPr>
          <w:trHeight w:val="218"/>
        </w:trPr>
        <w:tc>
          <w:tcPr>
            <w:tcW w:w="20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5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5"/>
              </w:rPr>
              <w:t>Ambient Relative Humidity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10 ~ 95% (non-condensing)</w:t>
            </w:r>
          </w:p>
        </w:tc>
      </w:tr>
      <w:tr>
        <w:trPr>
          <w:trHeight w:val="21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9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Humidity</w:t>
            </w:r>
          </w:p>
        </w:tc>
        <w:tc>
          <w:tcPr>
            <w:tcW w:w="170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10 ~ 95% (non-condensing)</w:t>
            </w:r>
          </w:p>
        </w:tc>
      </w:tr>
    </w:tbl>
    <w:p>
      <w:pPr>
        <w:spacing w:after="0" w:line="1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Power</w:t>
      </w:r>
    </w:p>
    <w:p>
      <w:pPr>
        <w:spacing w:after="0" w:line="60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Power Consumption</w:t>
            </w:r>
          </w:p>
        </w:tc>
        <w:tc>
          <w:tcPr>
            <w:tcW w:w="25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12.1W @ 48V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(System)</w:t>
            </w:r>
          </w:p>
        </w:tc>
      </w:tr>
      <w:tr>
        <w:trPr>
          <w:trHeight w:val="218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Power Input</w:t>
            </w:r>
          </w:p>
        </w:tc>
        <w:tc>
          <w:tcPr>
            <w:tcW w:w="5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48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(46 to 57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),</w:t>
            </w:r>
          </w:p>
        </w:tc>
      </w:tr>
      <w:tr>
        <w:trPr>
          <w:trHeight w:val="186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53</w:t>
            </w:r>
          </w:p>
        </w:tc>
        <w:tc>
          <w:tcPr>
            <w:tcW w:w="20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-57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7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 xml:space="preserve"> is recommended for 802.3at,</w:t>
            </w:r>
          </w:p>
        </w:tc>
      </w:tr>
      <w:tr>
        <w:trPr>
          <w:trHeight w:val="190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5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redundant dual power input</w:t>
            </w:r>
          </w:p>
        </w:tc>
      </w:tr>
      <w:tr>
        <w:trPr>
          <w:trHeight w:val="222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Power Budget</w:t>
            </w:r>
          </w:p>
        </w:tc>
        <w:tc>
          <w:tcPr>
            <w:tcW w:w="25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240W</w:t>
            </w:r>
          </w:p>
        </w:tc>
      </w:tr>
      <w:tr>
        <w:trPr>
          <w:trHeight w:val="218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Fault Output</w:t>
            </w:r>
          </w:p>
        </w:tc>
        <w:tc>
          <w:tcPr>
            <w:tcW w:w="2560" w:type="dxa"/>
            <w:vAlign w:val="bottom"/>
            <w:gridSpan w:val="2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 Relay Output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656590</wp:posOffset>
            </wp:positionV>
            <wp:extent cx="6343015" cy="2406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4" w:lineRule="exact"/>
        <w:rPr>
          <w:sz w:val="24"/>
          <w:szCs w:val="24"/>
          <w:color w:val="auto"/>
        </w:rPr>
      </w:pPr>
    </w:p>
    <w:p>
      <w:pPr>
        <w:ind w:left="16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Ethernet Solutions</w:t>
      </w:r>
    </w:p>
    <w:p>
      <w:pPr>
        <w:sectPr>
          <w:pgSz w:w="12240" w:h="15930" w:orient="portrait"/>
          <w:cols w:equalWidth="0" w:num="1">
            <w:col w:w="9960"/>
          </w:cols>
          <w:pgMar w:left="1140" w:top="1180" w:right="1140" w:bottom="0" w:gutter="0" w:footer="0" w:header="0"/>
          <w:type w:val="continuous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Last updated: 26-Jun-2018</w:t>
      </w:r>
    </w:p>
    <w:p>
      <w:pPr>
        <w:sectPr>
          <w:pgSz w:w="12240" w:h="15930" w:orient="portrait"/>
          <w:cols w:equalWidth="0" w:num="1">
            <w:col w:w="9960"/>
          </w:cols>
          <w:pgMar w:left="1140" w:top="1180" w:right="11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1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3"/>
          <w:szCs w:val="23"/>
          <w:b w:val="1"/>
          <w:bCs w:val="1"/>
          <w:color w:val="333333"/>
        </w:rPr>
        <w:t>EKI-2712G-4FPI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633222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2.5pt" to="498.3pt,12.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266700</wp:posOffset>
                </wp:positionV>
                <wp:extent cx="0" cy="414020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21pt" to="497.8pt,34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273050</wp:posOffset>
                </wp:positionV>
                <wp:extent cx="633222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21.5pt" to="498.3pt,21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266700</wp:posOffset>
                </wp:positionV>
                <wp:extent cx="0" cy="41402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40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21pt" to="0.15pt,347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4400550</wp:posOffset>
                </wp:positionV>
                <wp:extent cx="63322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346.5pt" to="498.3pt,346.5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Dimensions</w:t>
      </w:r>
    </w:p>
    <w:p>
      <w:pPr>
        <w:spacing w:after="0" w:line="82" w:lineRule="exact"/>
        <w:rPr>
          <w:sz w:val="20"/>
          <w:szCs w:val="20"/>
          <w:color w:val="auto"/>
        </w:rPr>
      </w:pPr>
    </w:p>
    <w:tbl>
      <w:tblPr>
        <w:tblLayout w:type="fixed"/>
        <w:tblInd w:w="2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4"/>
        </w:trPr>
        <w:tc>
          <w:tcPr>
            <w:tcW w:w="16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1"/>
              </w:rPr>
              <w:t>[2.222]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left w:val="single" w:sz="8" w:color="auto"/>
            </w:tcBorders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auto"/>
                <w:w w:val="76"/>
              </w:rPr>
              <w:t>781][1.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6"/>
        </w:trPr>
        <w:tc>
          <w:tcPr>
            <w:tcW w:w="16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4556.</w:t>
            </w:r>
          </w:p>
        </w:tc>
        <w:tc>
          <w:tcPr>
            <w:tcW w:w="280" w:type="dxa"/>
            <w:vAlign w:val="bottom"/>
            <w:tcBorders>
              <w:left w:val="single" w:sz="8" w:color="auto"/>
            </w:tcBorders>
            <w:textDirection w:val="btLr"/>
          </w:tcPr>
          <w:p>
            <w:pPr>
              <w:ind w:right="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2545.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auto"/>
                <w:w w:val="76"/>
              </w:rPr>
              <w:t>591][0.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extDirection w:val="btLr"/>
          </w:tcPr>
          <w:p>
            <w:pPr>
              <w:ind w:right="2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right"/>
        <w:ind w:right="2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mm [inch]</w:t>
      </w:r>
    </w:p>
    <w:p>
      <w:pPr>
        <w:spacing w:after="0" w:line="88" w:lineRule="exact"/>
        <w:rPr>
          <w:sz w:val="20"/>
          <w:szCs w:val="20"/>
          <w:color w:val="auto"/>
        </w:rPr>
      </w:pPr>
    </w:p>
    <w:tbl>
      <w:tblPr>
        <w:tblLayout w:type="fixed"/>
        <w:tblInd w:w="143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4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1056. [2.209]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-305435</wp:posOffset>
            </wp:positionH>
            <wp:positionV relativeFrom="paragraph">
              <wp:posOffset>-431800</wp:posOffset>
            </wp:positionV>
            <wp:extent cx="1242695" cy="8140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52070" cy="336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0"/>
          <w:szCs w:val="10"/>
          <w:color w:val="auto"/>
        </w:rPr>
        <w:t>37.72</w:t>
      </w:r>
      <w:r>
        <w:rPr>
          <w:sz w:val="1"/>
          <w:szCs w:val="1"/>
          <w:color w:val="auto"/>
        </w:rPr>
        <w:drawing>
          <wp:inline distT="0" distB="0" distL="0" distR="0">
            <wp:extent cx="52070" cy="336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0"/>
          <w:szCs w:val="10"/>
          <w:color w:val="auto"/>
        </w:rPr>
        <w:t xml:space="preserve"> 35.56</w:t>
      </w:r>
      <w:r>
        <w:rPr>
          <w:sz w:val="1"/>
          <w:szCs w:val="1"/>
          <w:color w:val="auto"/>
        </w:rPr>
        <w:drawing>
          <wp:inline distT="0" distB="0" distL="0" distR="0">
            <wp:extent cx="52705" cy="3365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[1.485] [1.400]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52070" cy="336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 xml:space="preserve">83.50 [3.287] </w:t>
      </w:r>
      <w:r>
        <w:rPr>
          <w:sz w:val="1"/>
          <w:szCs w:val="1"/>
          <w:color w:val="auto"/>
        </w:rPr>
        <w:drawing>
          <wp:inline distT="0" distB="0" distL="0" distR="0">
            <wp:extent cx="52705" cy="336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" cy="3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2560" w:space="180"/>
            <w:col w:w="722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35" w:lineRule="exact"/>
        <w:rPr>
          <w:sz w:val="20"/>
          <w:szCs w:val="20"/>
          <w:color w:val="auto"/>
        </w:rPr>
      </w:pPr>
    </w:p>
    <w:tbl>
      <w:tblPr>
        <w:tblLayout w:type="fixed"/>
        <w:tblInd w:w="10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  <w:vMerge w:val="restart"/>
          </w:tcPr>
          <w:p>
            <w:pPr>
              <w:jc w:val="right"/>
              <w:ind w:right="1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114 [4.488]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jc w:val="right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74 [2.913]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37 [1.457]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  <w:vMerge w:val="restart"/>
          </w:tcPr>
          <w:p>
            <w:pPr>
              <w:jc w:val="right"/>
              <w:ind w:right="1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105 [4.134]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60" w:type="dxa"/>
            <w:vAlign w:val="bottom"/>
            <w:vMerge w:val="restart"/>
          </w:tcPr>
          <w:p>
            <w:pPr>
              <w:jc w:val="right"/>
              <w:ind w:right="25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780" w:type="dxa"/>
            <w:vAlign w:val="bottom"/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>74 [2.913]</w:t>
            </w:r>
          </w:p>
        </w:tc>
        <w:tc>
          <w:tcPr>
            <w:tcW w:w="1360" w:type="dxa"/>
            <w:vAlign w:val="bottom"/>
          </w:tcPr>
          <w:p>
            <w:pPr>
              <w:jc w:val="right"/>
              <w:ind w:right="57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35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313"/>
              <w:spacing w:after="0" w:line="1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40.64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jc w:val="right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[1.385]</w:t>
            </w:r>
          </w:p>
        </w:tc>
        <w:tc>
          <w:tcPr>
            <w:tcW w:w="760" w:type="dxa"/>
            <w:vAlign w:val="bottom"/>
          </w:tcPr>
          <w:p>
            <w:pPr>
              <w:jc w:val="right"/>
              <w:ind w:right="273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[1.600]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jc w:val="right"/>
              <w:ind w:right="134"/>
              <w:spacing w:after="0" w:line="1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[1.378]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textDirection w:val="btLr"/>
          </w:tcPr>
          <w:p>
            <w:pPr>
              <w:ind w:right="7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color w:val="auto"/>
                <w:w w:val="78"/>
              </w:rPr>
              <w:t>[0.390]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extDirection w:val="btLr"/>
          </w:tcPr>
          <w:p>
            <w:pPr>
              <w:ind w:right="9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7"/>
              </w:rPr>
              <w:t>9.90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extDirection w:val="btLr"/>
          </w:tcPr>
          <w:p>
            <w:pPr>
              <w:ind w:right="9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152 [5.984]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[2.165] 47 [1.850]</w:t>
            </w:r>
          </w:p>
        </w:tc>
        <w:tc>
          <w:tcPr>
            <w:tcW w:w="1760" w:type="dxa"/>
            <w:vAlign w:val="bottom"/>
            <w:textDirection w:val="btLr"/>
          </w:tcPr>
          <w:p>
            <w:pPr>
              <w:ind w:right="148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152 [5.984]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55</w:t>
            </w: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jc w:val="right"/>
              <w:ind w:right="5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6-M3xP0.5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563245</wp:posOffset>
            </wp:positionH>
            <wp:positionV relativeFrom="paragraph">
              <wp:posOffset>-1729105</wp:posOffset>
            </wp:positionV>
            <wp:extent cx="3750310" cy="228219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10" cy="228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69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1"/>
        </w:trPr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6"/>
              </w:rPr>
              <w:t>19.50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vMerge w:val="restart"/>
          </w:tcPr>
          <w:p>
            <w:pPr>
              <w:jc w:val="right"/>
              <w:ind w:right="5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105 [4.134]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[0.768]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9"/>
        </w:trPr>
        <w:tc>
          <w:tcPr>
            <w:tcW w:w="4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130 [5.118]</w:t>
            </w:r>
          </w:p>
        </w:tc>
        <w:tc>
          <w:tcPr>
            <w:tcW w:w="1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110 [4.331]</w:t>
            </w:r>
          </w:p>
        </w:tc>
        <w:tc>
          <w:tcPr>
            <w:tcW w:w="620" w:type="dxa"/>
            <w:vAlign w:val="bottom"/>
            <w:textDirection w:val="btLr"/>
          </w:tcPr>
          <w:p>
            <w:pPr>
              <w:ind w:right="34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152 [5.984]</w:t>
            </w:r>
          </w:p>
        </w:tc>
        <w:tc>
          <w:tcPr>
            <w:tcW w:w="17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152 [5.984]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5"/>
        </w:trPr>
        <w:tc>
          <w:tcPr>
            <w:tcW w:w="4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11 [0.433]</w:t>
            </w:r>
          </w:p>
        </w:tc>
        <w:tc>
          <w:tcPr>
            <w:tcW w:w="1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21 [0.827]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839470</wp:posOffset>
            </wp:positionH>
            <wp:positionV relativeFrom="paragraph">
              <wp:posOffset>-1591310</wp:posOffset>
            </wp:positionV>
            <wp:extent cx="962660" cy="12446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24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6100" w:space="20"/>
            <w:col w:w="384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Panel Cut-out Dimensions: 105 x 152 x 74 (4.134" x 5.98" x 2.913")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44C"/>
        </w:rPr>
        <w:t>Ordering Information</w:t>
      </w:r>
    </w:p>
    <w:p>
      <w:pPr>
        <w:spacing w:after="0" w:line="79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EKI-2712G-4FPI-AE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8GE + 4SFP Port Unmanaged PoE Ethernet Switch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w/Wide Temp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3495040</wp:posOffset>
                </wp:positionV>
                <wp:extent cx="6331585" cy="16510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-0.2499pt;margin-top:275.2pt;width:498.5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3507105</wp:posOffset>
                </wp:positionV>
                <wp:extent cx="1560195" cy="13970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350.25pt;margin-top:276.1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2019-11-18T15:48:54Z</dcterms:created>
  <dcterms:modified xsi:type="dcterms:W3CDTF">2019-11-18T15:48:54Z</dcterms:modified>
</cp:coreProperties>
</file>