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0"/>
          <w:szCs w:val="70"/>
          <w:b w:val="1"/>
          <w:bCs w:val="1"/>
          <w:color w:val="000F59"/>
        </w:rPr>
        <w:t>EKI-2541M/MI EKI-2541S/SI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6332220" cy="24434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4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right="260"/>
        <w:spacing w:after="0" w:line="310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10/100T (X) to Multi-Mode SC Type Fiber Optic Industrial Media Converter</w:t>
      </w:r>
    </w:p>
    <w:p>
      <w:pPr>
        <w:ind w:right="260"/>
        <w:spacing w:after="0" w:line="317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10/100T (X) to Single-Mode SC Type Fiber Optic Industrial Media Converter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141605</wp:posOffset>
                </wp:positionV>
                <wp:extent cx="3075305" cy="230378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BDC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8.8499pt;margin-top:11.15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DCE6" stroked="f"/>
            </w:pict>
          </mc:Fallback>
        </mc:AlternateConten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20" w:space="480"/>
            <w:col w:w="4660"/>
          </w:cols>
          <w:pgMar w:left="1140" w:top="463" w:right="1140" w:bottom="0" w:gutter="0" w:footer="0" w:header="0"/>
        </w:sectPr>
      </w:pP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Provides 1 x 10/100 Mbps Ethernet port with RJ45 connector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5300" w:right="740"/>
        <w:spacing w:after="0" w:line="325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5"/>
          <w:szCs w:val="15"/>
          <w:color w:val="auto"/>
        </w:rPr>
        <w:t>Provides 1 x 100 Mbps Multi-mode/Single-mode SC type fiber port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Provides internal jumper for Link Fault Pass-through (LFP) setting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Supports full/half duplex flow control</w:t>
      </w:r>
    </w:p>
    <w:p>
      <w:pPr>
        <w:ind w:left="5300"/>
        <w:spacing w:after="0" w:line="22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store and forward transmission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Auto-negotiation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MDI/MDI-X auto-crossover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redundant 12-48 V</w:t>
      </w:r>
      <w:r>
        <w:rPr>
          <w:rFonts w:ascii="Helvetica" w:cs="Helvetica" w:eastAsia="Helvetica" w:hAnsi="Helvetica"/>
          <w:sz w:val="9"/>
          <w:szCs w:val="9"/>
          <w:color w:val="auto"/>
        </w:rPr>
        <w:t>DC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power input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Provides flexible mounting: DIN-rail and Panel mount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4"/>
          <w:szCs w:val="14"/>
          <w:color w:val="auto"/>
        </w:rPr>
        <w:t>Supports wide operating temperatures from -40 to 75°C (EKI-2541MI/SI)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1040"/>
        <w:spacing w:after="0"/>
        <w:tabs>
          <w:tab w:leader="none" w:pos="30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EKI-2541M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EKI-2541S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1283335</wp:posOffset>
            </wp:positionH>
            <wp:positionV relativeFrom="paragraph">
              <wp:posOffset>47625</wp:posOffset>
            </wp:positionV>
            <wp:extent cx="1789430" cy="2425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2172970</wp:posOffset>
            </wp:positionH>
            <wp:positionV relativeFrom="paragraph">
              <wp:posOffset>-57785</wp:posOffset>
            </wp:positionV>
            <wp:extent cx="207645" cy="1498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2011/65/EU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spacing w:after="0" w:line="363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The EKI-2541M/2541S is designed to convert Ethernet networks to fiber networks by transparently converting Ethernet signals to optic signals. The advantages of fiber optics are wide bandwidth, EMI immunity and long-distance transmissions.Therefore, the EKI-2541M/2541S is an ideal solution for “fiber to building” applications at central offices or local sites. EKI-2541M/2541S supports MDI/MDIX auto detection, so you don’t need to use crossover wires. Furthermore, the EKI-2541M/2541S can work normally from -10 to 60°C and accepts a wide voltage range from 12 ~ 48 V</w:t>
      </w:r>
      <w:r>
        <w:rPr>
          <w:rFonts w:ascii="Helvetica" w:cs="Helvetica" w:eastAsia="Helvetica" w:hAnsi="Helvetica"/>
          <w:sz w:val="13"/>
          <w:szCs w:val="13"/>
          <w:color w:val="auto"/>
          <w:vertAlign w:val="subscript"/>
        </w:rPr>
        <w:t>DC</w:t>
      </w:r>
      <w:r>
        <w:rPr>
          <w:rFonts w:ascii="Helvetica" w:cs="Helvetica" w:eastAsia="Helvetica" w:hAnsi="Helvetica"/>
          <w:sz w:val="12"/>
          <w:szCs w:val="12"/>
          <w:color w:val="auto"/>
        </w:rPr>
        <w:t>. Besides, it also provides 3,000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surge (EFT) protection against over-voltage, so it is suitable for harsh operating environments.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Link Fault Pass-Through (LFP)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jc w:val="both"/>
        <w:spacing w:after="0" w:line="283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The EKI-2541M/2541S is an enhanced Ethernet to fiber-optic converter. Aside from its standard features, the versatile the EKI-2541M/2541S also has the LFP (Link Fault Pass-through) feature. When one side of the link fails, the other side continues transmitting packets, and waiting for a response that never arrives from the disconnected side. Use the internal jumper to enable the LFP function, then the EKI-2541M/2541S will force the link to shut down as soon as noticed that the other link has failed, giving the application software a chance to react to the situation.</w:t>
      </w:r>
    </w:p>
    <w:p>
      <w:pPr>
        <w:sectPr>
          <w:pgSz w:w="12240" w:h="15930" w:orient="portrait"/>
          <w:cols w:equalWidth="0" w:num="1">
            <w:col w:w="9960"/>
          </w:cols>
          <w:pgMar w:left="1140" w:top="463" w:right="1140" w:bottom="0" w:gutter="0" w:footer="0" w:header="0"/>
          <w:type w:val="continuous"/>
        </w:sect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Communications</w:t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Standard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IEEE 802.3, 802.3u, 802.3x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LAN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10/100Base-T (X), 100Base-FX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jc w:val="right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88"/>
              </w:rPr>
              <w:t>Transmission Distance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Ethernet: Up to 100 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Fiber: Multi-mode: up to 2 km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9"/>
              </w:rPr>
              <w:t>Transmission Speed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8"/>
              </w:rPr>
              <w:t>Fiber: Single-mode: up to 30 km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Up to 100 Mbps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jc w:val="right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Optical Fiber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Multi-mode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Wavelength: 1310 nm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(EKI-2541M/MI)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Tx Power: -14/-20 dBm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Rx Sensitivity: -31 dBm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7"/>
              </w:rPr>
              <w:t>Parameters: 50/125 um,62.5/125 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Single-mode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Wavelength: 1310 nm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(EKI-2541S/SI)</w:t>
            </w: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Tx Power: -8/-15 dBm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Rx Sensitivity: -34 dBm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Parameters: 9/125 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Interface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RJ45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SC type fiber connector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LED Indicators</w:t>
            </w: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8"/>
              </w:rPr>
              <w:t>6-pin removable screw terminal (power)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P1, P2, P-Fail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Ethernet: 10/100 m, LNK/ACT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DIP Switch</w:t>
            </w: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Fiber: HDX/FDX, LNK/ACT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Port/Power Alarm, LFP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Fiber: HDX/FDX, Converter/Switch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Power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Max. 2.7 W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Power Input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12 ~ 48 V</w:t>
      </w:r>
      <w:r>
        <w:rPr>
          <w:rFonts w:ascii="Helvetica" w:cs="Helvetica" w:eastAsia="Helvetica" w:hAnsi="Helvetica"/>
          <w:sz w:val="6"/>
          <w:szCs w:val="6"/>
          <w:color w:val="auto"/>
        </w:rPr>
        <w:t>DC</w:t>
      </w:r>
      <w:r>
        <w:rPr>
          <w:rFonts w:ascii="Helvetica" w:cs="Helvetica" w:eastAsia="Helvetica" w:hAnsi="Helvetica"/>
          <w:sz w:val="11"/>
          <w:szCs w:val="11"/>
          <w:color w:val="auto"/>
        </w:rPr>
        <w:t>, redundant dual inputs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456565</wp:posOffset>
            </wp:positionV>
            <wp:extent cx="807085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Mechanism</w:t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89"/>
              </w:rPr>
              <w:t>Dimensions (W x H x D)</w:t>
            </w:r>
          </w:p>
        </w:tc>
        <w:tc>
          <w:tcPr>
            <w:tcW w:w="2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9"/>
              </w:rPr>
              <w:t>37 x 140 x 95 mm (1.46" x 5.51" x 3.74")</w:t>
            </w: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60" w:type="dxa"/>
            <w:vAlign w:val="bottom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Mounting</w:t>
            </w:r>
          </w:p>
        </w:tc>
        <w:tc>
          <w:tcPr>
            <w:tcW w:w="222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DIN-rail, Wall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Enclosure</w:t>
            </w:r>
          </w:p>
        </w:tc>
        <w:tc>
          <w:tcPr>
            <w:tcW w:w="2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8"/>
              </w:rPr>
              <w:t>IP30, Metal shell with solid mounting</w:t>
            </w: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Power Reverse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Present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Overload current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Present</w:t>
      </w:r>
    </w:p>
    <w:p>
      <w:pPr>
        <w:spacing w:after="0" w:line="1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Environment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Operating Temperature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-10 ~ 60°C (14 ~ 140°F)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Wide Temp. model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-40 ~ 75°C (-40 ~ 167°F)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Storage Temperature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-40 ~ 85°C (-40 ~ 185°F)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Operating Humidity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~ 95% (non-condensing)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Storage Humidity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0 ~ 95% (non-condensing)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MTBF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577,175 hours</w:t>
      </w:r>
    </w:p>
    <w:p>
      <w:pPr>
        <w:spacing w:after="0" w:line="1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Certification</w:t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Safety</w:t>
            </w: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UL 60950-1, CAN/CSA-C22.2 No.60950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EMI</w:t>
            </w: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6"/>
              </w:rPr>
              <w:t>FCC Part 15 Subpart B Class A, EN 55022 Class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jc w:val="right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EMS</w:t>
            </w: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EN 61000-4-2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EN 61000-4-3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EN 61000-4-4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EN 61000-4-5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EN 61000-4-6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Shock</w:t>
            </w: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EN 61000-4-8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IEC 60068-2-27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jc w:val="right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Freefall</w:t>
            </w: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IEC 60068-2-32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316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IEC 60068-2-6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-2434590</wp:posOffset>
                </wp:positionH>
                <wp:positionV relativeFrom="paragraph">
                  <wp:posOffset>535940</wp:posOffset>
                </wp:positionV>
                <wp:extent cx="5511800" cy="1644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F5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191.6999pt;margin-top:42.2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F59" stroked="f"/>
            </w:pict>
          </mc:Fallback>
        </mc:AlternateConten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400" w:space="720"/>
            <w:col w:w="4840"/>
          </w:cols>
          <w:pgMar w:left="1140" w:top="463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Ethernet Solutions</w:t>
      </w:r>
    </w:p>
    <w:p>
      <w:pPr>
        <w:sectPr>
          <w:pgSz w:w="12240" w:h="15930" w:orient="portrait"/>
          <w:cols w:equalWidth="0" w:num="1">
            <w:col w:w="9960"/>
          </w:cols>
          <w:pgMar w:left="1140" w:top="463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 : 5-May-2015</w:t>
      </w:r>
    </w:p>
    <w:p>
      <w:pPr>
        <w:sectPr>
          <w:pgSz w:w="12240" w:h="15930" w:orient="portrait"/>
          <w:cols w:equalWidth="0" w:num="1">
            <w:col w:w="9960"/>
          </w:cols>
          <w:pgMar w:left="1140" w:top="463" w:right="1140" w:bottom="0" w:gutter="0" w:footer="0" w:header="0"/>
          <w:type w:val="continuous"/>
        </w:sectPr>
      </w:pPr>
    </w:p>
    <w:bookmarkStart w:id="1" w:name="page2"/>
    <w:bookmarkEnd w:id="1"/>
    <w:p>
      <w:pPr>
        <w:ind w:left="83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EKI-2541M/MI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3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EKI-2541S/SI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F5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9.1pt" to="498.3pt,9.1pt" o:allowincell="f" strokecolor="#000F59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223520</wp:posOffset>
                </wp:positionV>
                <wp:extent cx="0" cy="414020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17.6pt" to="497.8pt,343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229870</wp:posOffset>
                </wp:positionV>
                <wp:extent cx="63322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8.1pt" to="498.3pt,18.1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223520</wp:posOffset>
                </wp:positionV>
                <wp:extent cx="0" cy="414020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7.6pt" to="0.15pt,343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4357370</wp:posOffset>
                </wp:positionV>
                <wp:extent cx="633222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343.1pt" to="498.3pt,343.1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316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Dimensions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tbl>
      <w:tblPr>
        <w:tblLayout w:type="fixed"/>
        <w:tblInd w:w="17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"/>
        </w:trPr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3018. [0.72]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11. [0.45]40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1515. [0.60]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[mm]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-530225</wp:posOffset>
            </wp:positionH>
            <wp:positionV relativeFrom="paragraph">
              <wp:posOffset>57150</wp:posOffset>
            </wp:positionV>
            <wp:extent cx="1456055" cy="6610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</w:t>
      </w:r>
      <w:r>
        <w:rPr>
          <w:rFonts w:ascii="Arial" w:cs="Arial" w:eastAsia="Arial" w:hAnsi="Arial"/>
          <w:sz w:val="14"/>
          <w:szCs w:val="14"/>
          <w:u w:val="single" w:color="auto"/>
          <w:color w:val="auto"/>
        </w:rPr>
        <w:t>8.</w:t>
      </w:r>
      <w:r>
        <w:rPr>
          <w:rFonts w:ascii="Arial" w:cs="Arial" w:eastAsia="Arial" w:hAnsi="Arial"/>
          <w:sz w:val="14"/>
          <w:szCs w:val="14"/>
          <w:color w:val="auto"/>
        </w:rPr>
        <w:t>00</w:t>
      </w:r>
    </w:p>
    <w:p>
      <w:pPr>
        <w:spacing w:after="0" w:line="1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[0.71]</w:t>
      </w:r>
    </w:p>
    <w:p>
      <w:pPr>
        <w:ind w:left="60"/>
        <w:spacing w:after="0"/>
        <w:tabs>
          <w:tab w:leader="none" w:pos="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u w:val="single" w:color="auto"/>
          <w:color w:val="auto"/>
        </w:rPr>
        <w:t>32.30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u w:val="single" w:color="auto"/>
          <w:color w:val="auto"/>
        </w:rPr>
        <w:t>30.00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[1.27]</w:t>
      </w:r>
      <w:r>
        <w:rPr>
          <w:sz w:val="1"/>
          <w:szCs w:val="1"/>
          <w:color w:val="auto"/>
        </w:rPr>
        <w:drawing>
          <wp:inline distT="0" distB="0" distL="0" distR="0">
            <wp:extent cx="60960" cy="374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[1.18]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2440" w:space="300"/>
            <w:col w:w="722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880"/>
        <w:spacing w:after="0"/>
        <w:tabs>
          <w:tab w:leader="none" w:pos="1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36.60 [1.44]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6"/>
          <w:szCs w:val="6"/>
          <w:color w:val="auto"/>
        </w:rPr>
        <w:t>[0.37]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588010</wp:posOffset>
            </wp:positionH>
            <wp:positionV relativeFrom="paragraph">
              <wp:posOffset>-109855</wp:posOffset>
            </wp:positionV>
            <wp:extent cx="585470" cy="1656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3" w:lineRule="exact"/>
        <w:rPr>
          <w:sz w:val="20"/>
          <w:szCs w:val="20"/>
          <w:color w:val="auto"/>
        </w:rPr>
      </w:pPr>
    </w:p>
    <w:tbl>
      <w:tblPr>
        <w:tblLayout w:type="fixed"/>
        <w:tblInd w:w="119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0"/>
        </w:trPr>
        <w:tc>
          <w:tcPr>
            <w:tcW w:w="58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356870" cy="9334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5080" cy="508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4763" cy="1143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4763" cy="1143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6350" cy="476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 xml:space="preserve">                                                                                                                                       509.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179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00140. [5.52]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104.00 [4.10]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-14605</wp:posOffset>
            </wp:positionV>
            <wp:extent cx="1553845" cy="1784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95.06 [3.75]</w:t>
      </w:r>
    </w:p>
    <w:p>
      <w:pPr>
        <w:spacing w:after="0" w:line="2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"/>
        </w:trPr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gridSpan w:val="9"/>
            <w:vMerge w:val="restart"/>
          </w:tcPr>
          <w:p>
            <w:pPr>
              <w:jc w:val="right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36.60 [1.44]</w:t>
            </w:r>
          </w:p>
        </w:tc>
        <w:tc>
          <w:tcPr>
            <w:tcW w:w="8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gridSpan w:val="5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95.00 [3.74]</w:t>
            </w: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80" w:type="dxa"/>
            <w:vAlign w:val="bottom"/>
            <w:gridSpan w:val="7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32.30 [1.27]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gridSpan w:val="6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30.00 [1.18]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2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6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2018665</wp:posOffset>
            </wp:positionH>
            <wp:positionV relativeFrom="paragraph">
              <wp:posOffset>-609600</wp:posOffset>
            </wp:positionV>
            <wp:extent cx="2117725" cy="1525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2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4"/>
        </w:trPr>
        <w:tc>
          <w:tcPr>
            <w:tcW w:w="3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4"/>
              </w:rPr>
              <w:t>[1.85]</w:t>
            </w:r>
          </w:p>
        </w:tc>
        <w:tc>
          <w:tcPr>
            <w:tcW w:w="960" w:type="dxa"/>
            <w:vAlign w:val="bottom"/>
            <w:textDirection w:val="btLr"/>
          </w:tcPr>
          <w:p>
            <w:pPr>
              <w:ind w:right="7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7"/>
              </w:rPr>
              <w:t>140.[5.52]00</w:t>
            </w:r>
          </w:p>
        </w:tc>
        <w:tc>
          <w:tcPr>
            <w:tcW w:w="2040" w:type="dxa"/>
            <w:vAlign w:val="bottom"/>
            <w:textDirection w:val="btLr"/>
          </w:tcPr>
          <w:p>
            <w:pPr>
              <w:ind w:right="109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7"/>
              </w:rPr>
              <w:t>50149.[5.89]</w:t>
            </w:r>
          </w:p>
        </w:tc>
        <w:tc>
          <w:tcPr>
            <w:tcW w:w="13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7"/>
              </w:rPr>
              <w:t>149.[5.89]50</w:t>
            </w:r>
          </w:p>
        </w:tc>
      </w:tr>
      <w:tr>
        <w:trPr>
          <w:trHeight w:val="316"/>
        </w:trPr>
        <w:tc>
          <w:tcPr>
            <w:tcW w:w="340" w:type="dxa"/>
            <w:vAlign w:val="bottom"/>
            <w:textDirection w:val="btLr"/>
          </w:tcPr>
          <w:p>
            <w:pPr>
              <w:ind w:left="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0547.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89"/>
        </w:trPr>
        <w:tc>
          <w:tcPr>
            <w:tcW w:w="340" w:type="dxa"/>
            <w:vAlign w:val="bottom"/>
            <w:textDirection w:val="btLr"/>
          </w:tcPr>
          <w:p>
            <w:pPr>
              <w:ind w:left="2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0"/>
              </w:rPr>
              <w:t>47.9589][1.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317500</wp:posOffset>
            </wp:positionV>
            <wp:extent cx="994410" cy="3505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1936" w:space="524"/>
            <w:col w:w="750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Panel Cut-out Dimensions: 104 x 140 x 36.6 mm (4.1" x 5.52" x 1.44")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3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EKI-2541M</w:t>
            </w:r>
          </w:p>
        </w:tc>
        <w:tc>
          <w:tcPr>
            <w:tcW w:w="334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Ethernet to Multi-mode Fiber Converter</w:t>
            </w:r>
          </w:p>
        </w:tc>
      </w:tr>
      <w:tr>
        <w:trPr>
          <w:trHeight w:val="160"/>
        </w:trPr>
        <w:tc>
          <w:tcPr>
            <w:tcW w:w="1320" w:type="dxa"/>
            <w:vAlign w:val="bottom"/>
            <w:gridSpan w:val="2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EKI-2541MI</w:t>
            </w:r>
          </w:p>
        </w:tc>
        <w:tc>
          <w:tcPr>
            <w:tcW w:w="3340" w:type="dxa"/>
            <w:vAlign w:val="bottom"/>
          </w:tcPr>
          <w:p>
            <w:pPr>
              <w:ind w:left="4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9"/>
              </w:rPr>
              <w:t>Ethernet to Multi-mode Fiber Converter w/ Wide Temp.</w:t>
            </w: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EKI-2541S</w:t>
            </w:r>
          </w:p>
        </w:tc>
        <w:tc>
          <w:tcPr>
            <w:tcW w:w="3340" w:type="dxa"/>
            <w:vAlign w:val="bottom"/>
          </w:tcPr>
          <w:p>
            <w:pPr>
              <w:ind w:left="4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Ethernet to Single-mode Fiber Converter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EKI-2541SI</w:t>
            </w:r>
          </w:p>
        </w:tc>
        <w:tc>
          <w:tcPr>
            <w:tcW w:w="334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6"/>
              </w:rPr>
              <w:t>Ethernet to Single-mode Fiber Converter w/ Wide Temp.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3327400</wp:posOffset>
            </wp:positionV>
            <wp:extent cx="6331585" cy="16446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6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316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2019-11-18T15:51:31Z</dcterms:created>
  <dcterms:modified xsi:type="dcterms:W3CDTF">2019-11-18T15:51:31Z</dcterms:modified>
</cp:coreProperties>
</file>