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"/>
        <w:spacing w:after="0" w:line="690" w:lineRule="exact"/>
        <w:tabs>
          <w:tab w:leader="none" w:pos="5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0"/>
          <w:szCs w:val="60"/>
          <w:b w:val="1"/>
          <w:bCs w:val="1"/>
          <w:color w:val="00044C"/>
        </w:rPr>
        <w:t>EKI-9728G-4X8CI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6"/>
          <w:szCs w:val="26"/>
          <w:b w:val="1"/>
          <w:bCs w:val="1"/>
          <w:color w:val="333333"/>
        </w:rPr>
        <w:t>带</w:t>
      </w: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AC/DC</w:t>
      </w:r>
      <w:r>
        <w:rPr>
          <w:rFonts w:ascii="宋体" w:cs="宋体" w:eastAsia="宋体" w:hAnsi="宋体"/>
          <w:sz w:val="26"/>
          <w:szCs w:val="26"/>
          <w:b w:val="1"/>
          <w:bCs w:val="1"/>
          <w:color w:val="333333"/>
        </w:rPr>
        <w:t>的工业机架式</w:t>
      </w: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L3</w:t>
      </w:r>
      <w:r>
        <w:rPr>
          <w:rFonts w:ascii="宋体" w:cs="宋体" w:eastAsia="宋体" w:hAnsi="宋体"/>
          <w:sz w:val="26"/>
          <w:szCs w:val="26"/>
          <w:b w:val="1"/>
          <w:bCs w:val="1"/>
          <w:color w:val="333333"/>
        </w:rPr>
        <w:t>网管交</w:t>
      </w:r>
    </w:p>
    <w:p>
      <w:pPr>
        <w:ind w:left="53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333333"/>
        </w:rPr>
        <w:t>换机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78105</wp:posOffset>
            </wp:positionV>
            <wp:extent cx="6332220" cy="26657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66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53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16</w:t>
      </w:r>
      <w:r>
        <w:rPr>
          <w:rFonts w:ascii="宋体" w:cs="宋体" w:eastAsia="宋体" w:hAnsi="宋体"/>
          <w:sz w:val="16"/>
          <w:szCs w:val="16"/>
          <w:color w:val="auto"/>
        </w:rPr>
        <w:t>个千兆</w:t>
      </w:r>
      <w:r>
        <w:rPr>
          <w:rFonts w:ascii="Helvetica" w:cs="Helvetica" w:eastAsia="Helvetica" w:hAnsi="Helvetica"/>
          <w:sz w:val="16"/>
          <w:szCs w:val="16"/>
          <w:color w:val="auto"/>
        </w:rPr>
        <w:t>RJ-45</w:t>
      </w:r>
      <w:r>
        <w:rPr>
          <w:rFonts w:ascii="宋体" w:cs="宋体" w:eastAsia="宋体" w:hAnsi="宋体"/>
          <w:sz w:val="16"/>
          <w:szCs w:val="16"/>
          <w:color w:val="auto"/>
        </w:rPr>
        <w:t>端口</w:t>
      </w:r>
      <w:r>
        <w:rPr>
          <w:rFonts w:ascii="Helvetica" w:cs="Helvetica" w:eastAsia="Helvetica" w:hAnsi="Helvetica"/>
          <w:sz w:val="16"/>
          <w:szCs w:val="16"/>
          <w:color w:val="auto"/>
        </w:rPr>
        <w:t>+4</w:t>
      </w:r>
      <w:r>
        <w:rPr>
          <w:rFonts w:ascii="宋体" w:cs="宋体" w:eastAsia="宋体" w:hAnsi="宋体"/>
          <w:sz w:val="16"/>
          <w:szCs w:val="16"/>
          <w:color w:val="auto"/>
        </w:rPr>
        <w:t>个万兆</w:t>
      </w:r>
      <w:r>
        <w:rPr>
          <w:rFonts w:ascii="Helvetica" w:cs="Helvetica" w:eastAsia="Helvetica" w:hAnsi="Helvetica"/>
          <w:sz w:val="16"/>
          <w:szCs w:val="16"/>
          <w:color w:val="auto"/>
        </w:rPr>
        <w:t>SFP</w:t>
      </w:r>
      <w:r>
        <w:rPr>
          <w:rFonts w:ascii="宋体" w:cs="宋体" w:eastAsia="宋体" w:hAnsi="宋体"/>
          <w:sz w:val="16"/>
          <w:szCs w:val="16"/>
          <w:color w:val="auto"/>
        </w:rPr>
        <w:t>端口</w:t>
      </w:r>
      <w:r>
        <w:rPr>
          <w:rFonts w:ascii="Helvetica" w:cs="Helvetica" w:eastAsia="Helvetica" w:hAnsi="Helvetica"/>
          <w:sz w:val="16"/>
          <w:szCs w:val="16"/>
          <w:color w:val="auto"/>
        </w:rPr>
        <w:t>+8</w:t>
      </w:r>
      <w:r>
        <w:rPr>
          <w:rFonts w:ascii="宋体" w:cs="宋体" w:eastAsia="宋体" w:hAnsi="宋体"/>
          <w:sz w:val="16"/>
          <w:szCs w:val="16"/>
          <w:color w:val="auto"/>
        </w:rPr>
        <w:t>个千兆组合端口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L3</w:t>
      </w:r>
      <w:r>
        <w:rPr>
          <w:rFonts w:ascii="宋体" w:cs="宋体" w:eastAsia="宋体" w:hAnsi="宋体"/>
          <w:sz w:val="16"/>
          <w:szCs w:val="16"/>
          <w:color w:val="auto"/>
        </w:rPr>
        <w:t>功能：静态路由、</w:t>
      </w:r>
      <w:r>
        <w:rPr>
          <w:rFonts w:ascii="Helvetica" w:cs="Helvetica" w:eastAsia="Helvetica" w:hAnsi="Helvetica"/>
          <w:sz w:val="16"/>
          <w:szCs w:val="16"/>
          <w:color w:val="auto"/>
        </w:rPr>
        <w:t>RIP v1/v2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OSPF v2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VRRP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SFP</w:t>
      </w:r>
      <w:r>
        <w:rPr>
          <w:rFonts w:ascii="宋体" w:cs="宋体" w:eastAsia="宋体" w:hAnsi="宋体"/>
          <w:sz w:val="16"/>
          <w:szCs w:val="16"/>
          <w:color w:val="auto"/>
        </w:rPr>
        <w:t>插座，方便灵活的光纤扩展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管理：</w:t>
      </w:r>
      <w:r>
        <w:rPr>
          <w:rFonts w:ascii="Helvetica" w:cs="Helvetica" w:eastAsia="Helvetica" w:hAnsi="Helvetica"/>
          <w:sz w:val="16"/>
          <w:szCs w:val="16"/>
          <w:color w:val="auto"/>
        </w:rPr>
        <w:t>SNMP v1/v2c/v3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web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telnet</w:t>
      </w:r>
      <w:r>
        <w:rPr>
          <w:rFonts w:ascii="宋体" w:cs="宋体" w:eastAsia="宋体" w:hAnsi="宋体"/>
          <w:sz w:val="16"/>
          <w:szCs w:val="16"/>
          <w:color w:val="auto"/>
        </w:rPr>
        <w:t>、标准</w:t>
      </w:r>
      <w:r>
        <w:rPr>
          <w:rFonts w:ascii="Helvetica" w:cs="Helvetica" w:eastAsia="Helvetica" w:hAnsi="Helvetica"/>
          <w:sz w:val="16"/>
          <w:szCs w:val="16"/>
          <w:color w:val="auto"/>
        </w:rPr>
        <w:t>MIB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安全：</w:t>
      </w:r>
      <w:r>
        <w:rPr>
          <w:rFonts w:ascii="Helvetica" w:cs="Helvetica" w:eastAsia="Helvetica" w:hAnsi="Helvetica"/>
          <w:sz w:val="16"/>
          <w:szCs w:val="16"/>
          <w:color w:val="auto"/>
        </w:rPr>
        <w:t>802.1X https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ssh</w:t>
      </w:r>
      <w:r>
        <w:rPr>
          <w:rFonts w:ascii="宋体" w:cs="宋体" w:eastAsia="宋体" w:hAnsi="宋体"/>
          <w:sz w:val="16"/>
          <w:szCs w:val="16"/>
          <w:color w:val="auto"/>
        </w:rPr>
        <w:t>和</w:t>
      </w:r>
      <w:r>
        <w:rPr>
          <w:rFonts w:ascii="Helvetica" w:cs="Helvetica" w:eastAsia="Helvetica" w:hAnsi="Helvetica"/>
          <w:sz w:val="16"/>
          <w:szCs w:val="16"/>
          <w:color w:val="auto"/>
        </w:rPr>
        <w:t>snmpv3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双电源输入和</w:t>
      </w:r>
      <w:r>
        <w:rPr>
          <w:rFonts w:ascii="Helvetica" w:cs="Helvetica" w:eastAsia="Helvetica" w:hAnsi="Helvetica"/>
          <w:sz w:val="16"/>
          <w:szCs w:val="16"/>
          <w:color w:val="auto"/>
        </w:rPr>
        <w:t>2 x</w:t>
      </w:r>
      <w:r>
        <w:rPr>
          <w:rFonts w:ascii="宋体" w:cs="宋体" w:eastAsia="宋体" w:hAnsi="宋体"/>
          <w:sz w:val="16"/>
          <w:szCs w:val="16"/>
          <w:color w:val="auto"/>
        </w:rPr>
        <w:t>继电器输出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宽工作温度范围</w:t>
      </w:r>
      <w:r>
        <w:rPr>
          <w:rFonts w:ascii="Helvetica" w:cs="Helvetica" w:eastAsia="Helvetica" w:hAnsi="Helvetica"/>
          <w:sz w:val="16"/>
          <w:szCs w:val="16"/>
          <w:color w:val="auto"/>
        </w:rPr>
        <w:t>-40~85˚C</w:t>
      </w:r>
    </w:p>
    <w:p>
      <w:pPr>
        <w:spacing w:after="0" w:line="362" w:lineRule="exact"/>
        <w:rPr>
          <w:sz w:val="24"/>
          <w:szCs w:val="24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"/>
          <w:szCs w:val="5"/>
          <w:b w:val="1"/>
          <w:bCs w:val="1"/>
          <w:color w:val="595959"/>
        </w:rPr>
        <w:t>COMPLIANT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2002/95/EC</w:t>
      </w:r>
    </w:p>
    <w:p>
      <w:pPr>
        <w:spacing w:after="0" w:line="159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介绍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jc w:val="both"/>
        <w:ind w:left="20"/>
        <w:spacing w:after="0" w:line="197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EKI-9728G</w:t>
      </w:r>
      <w:r>
        <w:rPr>
          <w:rFonts w:ascii="宋体" w:cs="宋体" w:eastAsia="宋体" w:hAnsi="宋体"/>
          <w:sz w:val="16"/>
          <w:szCs w:val="16"/>
          <w:color w:val="auto"/>
        </w:rPr>
        <w:t>是一个</w:t>
      </w:r>
      <w:r>
        <w:rPr>
          <w:rFonts w:ascii="Helvetica" w:cs="Helvetica" w:eastAsia="Helvetica" w:hAnsi="Helvetica"/>
          <w:sz w:val="16"/>
          <w:szCs w:val="16"/>
          <w:color w:val="auto"/>
        </w:rPr>
        <w:t>L3</w:t>
      </w:r>
      <w:r>
        <w:rPr>
          <w:rFonts w:ascii="宋体" w:cs="宋体" w:eastAsia="宋体" w:hAnsi="宋体"/>
          <w:sz w:val="16"/>
          <w:szCs w:val="16"/>
          <w:color w:val="auto"/>
        </w:rPr>
        <w:t>管理交换机，支持</w:t>
      </w:r>
      <w:r>
        <w:rPr>
          <w:rFonts w:ascii="Helvetica" w:cs="Helvetica" w:eastAsia="Helvetica" w:hAnsi="Helvetica"/>
          <w:sz w:val="16"/>
          <w:szCs w:val="16"/>
          <w:color w:val="auto"/>
        </w:rPr>
        <w:t>RIP v1/v2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OSPF v2</w:t>
      </w:r>
      <w:r>
        <w:rPr>
          <w:rFonts w:ascii="宋体" w:cs="宋体" w:eastAsia="宋体" w:hAnsi="宋体"/>
          <w:sz w:val="16"/>
          <w:szCs w:val="16"/>
          <w:color w:val="auto"/>
        </w:rPr>
        <w:t>和</w:t>
      </w:r>
      <w:r>
        <w:rPr>
          <w:rFonts w:ascii="Helvetica" w:cs="Helvetica" w:eastAsia="Helvetica" w:hAnsi="Helvetica"/>
          <w:sz w:val="16"/>
          <w:szCs w:val="16"/>
          <w:color w:val="auto"/>
        </w:rPr>
        <w:t>VRRP</w:t>
      </w:r>
      <w:r>
        <w:rPr>
          <w:rFonts w:ascii="宋体" w:cs="宋体" w:eastAsia="宋体" w:hAnsi="宋体"/>
          <w:sz w:val="16"/>
          <w:szCs w:val="16"/>
          <w:color w:val="auto"/>
        </w:rPr>
        <w:t>。宽工作温度</w:t>
      </w:r>
      <w:r>
        <w:rPr>
          <w:rFonts w:ascii="Helvetica" w:cs="Helvetica" w:eastAsia="Helvetica" w:hAnsi="Helvetica"/>
          <w:sz w:val="16"/>
          <w:szCs w:val="16"/>
          <w:color w:val="auto"/>
        </w:rPr>
        <w:t>-40~85°C</w:t>
      </w:r>
      <w:r>
        <w:rPr>
          <w:rFonts w:ascii="宋体" w:cs="宋体" w:eastAsia="宋体" w:hAnsi="宋体"/>
          <w:sz w:val="16"/>
          <w:szCs w:val="16"/>
          <w:color w:val="auto"/>
        </w:rPr>
        <w:t>，能在恶劣环境下可靠工作。该设备设计有</w:t>
      </w:r>
      <w:r>
        <w:rPr>
          <w:rFonts w:ascii="Helvetica" w:cs="Helvetica" w:eastAsia="Helvetica" w:hAnsi="Helvetica"/>
          <w:sz w:val="16"/>
          <w:szCs w:val="16"/>
          <w:color w:val="auto"/>
        </w:rPr>
        <w:t>16</w:t>
      </w:r>
      <w:r>
        <w:rPr>
          <w:rFonts w:ascii="宋体" w:cs="宋体" w:eastAsia="宋体" w:hAnsi="宋体"/>
          <w:sz w:val="16"/>
          <w:szCs w:val="16"/>
          <w:color w:val="auto"/>
        </w:rPr>
        <w:t>个千兆端口、</w:t>
      </w:r>
      <w:r>
        <w:rPr>
          <w:rFonts w:ascii="Helvetica" w:cs="Helvetica" w:eastAsia="Helvetica" w:hAnsi="Helvetica"/>
          <w:sz w:val="16"/>
          <w:szCs w:val="16"/>
          <w:color w:val="auto"/>
        </w:rPr>
        <w:t>4</w:t>
      </w:r>
      <w:r>
        <w:rPr>
          <w:rFonts w:ascii="宋体" w:cs="宋体" w:eastAsia="宋体" w:hAnsi="宋体"/>
          <w:sz w:val="16"/>
          <w:szCs w:val="16"/>
          <w:color w:val="auto"/>
        </w:rPr>
        <w:t>个万兆</w:t>
      </w:r>
      <w:r>
        <w:rPr>
          <w:rFonts w:ascii="Helvetica" w:cs="Helvetica" w:eastAsia="Helvetica" w:hAnsi="Helvetica"/>
          <w:sz w:val="16"/>
          <w:szCs w:val="16"/>
          <w:color w:val="auto"/>
        </w:rPr>
        <w:t>SFP</w:t>
      </w:r>
      <w:r>
        <w:rPr>
          <w:rFonts w:ascii="宋体" w:cs="宋体" w:eastAsia="宋体" w:hAnsi="宋体"/>
          <w:sz w:val="16"/>
          <w:szCs w:val="16"/>
          <w:color w:val="auto"/>
        </w:rPr>
        <w:t>端口和</w:t>
      </w:r>
      <w:r>
        <w:rPr>
          <w:rFonts w:ascii="Helvetica" w:cs="Helvetica" w:eastAsia="Helvetica" w:hAnsi="Helvetica"/>
          <w:sz w:val="16"/>
          <w:szCs w:val="16"/>
          <w:color w:val="auto"/>
        </w:rPr>
        <w:t>8</w:t>
      </w:r>
      <w:r>
        <w:rPr>
          <w:rFonts w:ascii="宋体" w:cs="宋体" w:eastAsia="宋体" w:hAnsi="宋体"/>
          <w:sz w:val="16"/>
          <w:szCs w:val="16"/>
          <w:color w:val="auto"/>
        </w:rPr>
        <w:t>个千兆端口，提供丰富灵活的连接选项。最后，</w:t>
      </w:r>
      <w:r>
        <w:rPr>
          <w:rFonts w:ascii="Helvetica" w:cs="Helvetica" w:eastAsia="Helvetica" w:hAnsi="Helvetica"/>
          <w:sz w:val="16"/>
          <w:szCs w:val="16"/>
          <w:color w:val="auto"/>
        </w:rPr>
        <w:t>EKI-9728G</w:t>
      </w:r>
      <w:r>
        <w:rPr>
          <w:rFonts w:ascii="宋体" w:cs="宋体" w:eastAsia="宋体" w:hAnsi="宋体"/>
          <w:sz w:val="16"/>
          <w:szCs w:val="16"/>
          <w:color w:val="auto"/>
        </w:rPr>
        <w:t>系列具有双电源输入以确保系统稳定性，以及</w:t>
      </w:r>
      <w:r>
        <w:rPr>
          <w:rFonts w:ascii="Helvetica" w:cs="Helvetica" w:eastAsia="Helvetica" w:hAnsi="Helvetica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个继电器输出以提高用户灵活性。</w:t>
      </w:r>
    </w:p>
    <w:p>
      <w:pPr>
        <w:sectPr>
          <w:pgSz w:w="12240" w:h="15930" w:orient="portrait"/>
          <w:cols w:equalWidth="0" w:num="1">
            <w:col w:w="9980"/>
          </w:cols>
          <w:pgMar w:left="1120" w:top="935" w:right="1140" w:bottom="0" w:gutter="0" w:footer="0" w:header="0"/>
        </w:sectPr>
      </w:pP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通信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1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标准</w:t>
            </w: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IEEE 802.3, 802.3u, 802.3x, 802.3z, 802.1D, 802.1w,</w:t>
            </w:r>
          </w:p>
        </w:tc>
      </w:tr>
      <w:tr>
        <w:trPr>
          <w:trHeight w:val="183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802.1p, 802.1Q, 802.1X, 802.3ad, 802.3ab</w:t>
            </w:r>
          </w:p>
        </w:tc>
      </w:tr>
      <w:tr>
        <w:trPr>
          <w:trHeight w:val="194"/>
        </w:trPr>
        <w:tc>
          <w:tcPr>
            <w:tcW w:w="160" w:type="dxa"/>
            <w:vAlign w:val="bottom"/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LAN</w:t>
            </w: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10/100/1000BASE-TX, optional 100BASE-FX,</w:t>
            </w:r>
          </w:p>
        </w:tc>
      </w:tr>
      <w:tr>
        <w:trPr>
          <w:trHeight w:val="186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1000BASE-SX/LX/LHX/XD/ZX/EZX</w:t>
            </w:r>
          </w:p>
        </w:tc>
      </w:tr>
      <w:tr>
        <w:trPr>
          <w:trHeight w:val="197"/>
        </w:trPr>
        <w:tc>
          <w:tcPr>
            <w:tcW w:w="132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传输距离</w:t>
            </w:r>
          </w:p>
        </w:tc>
        <w:tc>
          <w:tcPr>
            <w:tcW w:w="34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Ethernet: Up to 100 m (4- wire Cat.5e, Cat.6 RJ45</w:t>
            </w:r>
          </w:p>
        </w:tc>
      </w:tr>
      <w:tr>
        <w:trPr>
          <w:trHeight w:val="183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cable suggested for Gigabit port)</w:t>
            </w:r>
          </w:p>
        </w:tc>
      </w:tr>
      <w:tr>
        <w:trPr>
          <w:trHeight w:val="190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SFP: Up to 110 km (depends on SFP)</w:t>
            </w:r>
          </w:p>
        </w:tc>
      </w:tr>
      <w:tr>
        <w:trPr>
          <w:trHeight w:val="197"/>
        </w:trPr>
        <w:tc>
          <w:tcPr>
            <w:tcW w:w="160" w:type="dxa"/>
            <w:vAlign w:val="bottom"/>
          </w:tcPr>
          <w:p>
            <w:pPr>
              <w:jc w:val="right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1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传输速度</w:t>
            </w: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Ethernet: 10/100 Mbps Auto-Negotiation</w:t>
            </w:r>
          </w:p>
        </w:tc>
      </w:tr>
      <w:tr>
        <w:trPr>
          <w:trHeight w:val="183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Gigabit Copper: 10/100/1000 Mbps, Auto-Negotiation</w:t>
            </w:r>
          </w:p>
        </w:tc>
      </w:tr>
      <w:tr>
        <w:trPr>
          <w:trHeight w:val="190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Gigabit Fiber: Up to 1000 Mbps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18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源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电力消耗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19.24 W @ 110V</w:t>
      </w:r>
      <w:r>
        <w:rPr>
          <w:rFonts w:ascii="Helvetica" w:cs="Helvetica" w:eastAsia="Helvetica" w:hAnsi="Helvetica"/>
          <w:sz w:val="7"/>
          <w:szCs w:val="7"/>
          <w:color w:val="auto"/>
        </w:rPr>
        <w:t>AC</w:t>
      </w:r>
    </w:p>
    <w:p>
      <w:pPr>
        <w:spacing w:after="0" w:line="189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电源输入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90 ~ 264AC/88 ~ 370V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故障输出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 Relay Outputs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18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护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反极性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Present</w:t>
      </w: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过载电流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Present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18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境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操作温度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-40 ~ 85°C (-40 ~ 185°F)</w:t>
      </w:r>
    </w:p>
    <w:p>
      <w:pPr>
        <w:spacing w:after="0" w:line="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9"/>
          <w:szCs w:val="9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9"/>
          <w:szCs w:val="9"/>
          <w:b w:val="1"/>
          <w:bCs w:val="1"/>
          <w:color w:val="auto"/>
        </w:rPr>
        <w:t>储存温度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-40 ~ 85°C (-40 ~ 185°F)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00" w:space="340"/>
            <w:col w:w="4840"/>
          </w:cols>
          <w:pgMar w:left="1120" w:top="935" w:right="1140" w:bottom="0" w:gutter="0" w:footer="0" w:header="0"/>
          <w:type w:val="continuous"/>
        </w:sect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接口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8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连接器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180" w:hanging="166"/>
        <w:spacing w:after="0" w:line="170" w:lineRule="exact"/>
        <w:tabs>
          <w:tab w:leader="none" w:pos="180" w:val="left"/>
        </w:tabs>
        <w:numPr>
          <w:ilvl w:val="0"/>
          <w:numId w:val="1"/>
        </w:numP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 xml:space="preserve">LED </w:t>
      </w: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指示灯</w:t>
      </w:r>
    </w:p>
    <w:p>
      <w:pPr>
        <w:spacing w:after="0" w:line="200" w:lineRule="exact"/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</w:pPr>
    </w:p>
    <w:p>
      <w:pPr>
        <w:spacing w:after="0" w:line="203" w:lineRule="exact"/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</w:pPr>
    </w:p>
    <w:p>
      <w:pPr>
        <w:ind w:left="180" w:hanging="166"/>
        <w:spacing w:after="0" w:line="192" w:lineRule="exact"/>
        <w:tabs>
          <w:tab w:leader="none" w:pos="180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控制器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16 x RJ45 (Ethernet)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8 x RJ45/SFP (mini-GBIC) combo ports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4 x SFP Ports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3-pin removable screw terminal (Power)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4-pin removable screw terminal (Relay)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10/100T (X): Link/Activity, Duplex/Collision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Gigabit Copper: Link/Activity, Speed (1000 Mbps)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SFP: Link/Activity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RS-232 (RJ45)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工作湿度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 ~ 95% (non-condensing)</w:t>
      </w: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储存湿度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 ~ 95% (non-condensing)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18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证</w:t>
      </w:r>
    </w:p>
    <w:p>
      <w:pPr>
        <w:spacing w:after="0" w:line="55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EMI</w:t>
            </w:r>
          </w:p>
        </w:tc>
        <w:tc>
          <w:tcPr>
            <w:tcW w:w="21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5"/>
              </w:rPr>
              <w:t>CE FCC EN55022 Class A</w:t>
            </w:r>
          </w:p>
        </w:tc>
      </w:tr>
      <w:tr>
        <w:trPr>
          <w:trHeight w:val="191"/>
        </w:trPr>
        <w:tc>
          <w:tcPr>
            <w:tcW w:w="1120" w:type="dxa"/>
            <w:vAlign w:val="bottom"/>
          </w:tcPr>
          <w:p>
            <w:pPr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EMS</w:t>
            </w:r>
          </w:p>
        </w:tc>
        <w:tc>
          <w:tcPr>
            <w:tcW w:w="21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61000-4-2</w:t>
            </w:r>
          </w:p>
        </w:tc>
      </w:tr>
      <w:tr>
        <w:trPr>
          <w:trHeight w:val="186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61000-4-3</w:t>
            </w:r>
          </w:p>
        </w:tc>
      </w:tr>
      <w:tr>
        <w:trPr>
          <w:trHeight w:val="19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61000-4-4</w:t>
            </w:r>
          </w:p>
        </w:tc>
      </w:tr>
      <w:tr>
        <w:trPr>
          <w:trHeight w:val="19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61000-4-5</w:t>
            </w:r>
          </w:p>
        </w:tc>
      </w:tr>
      <w:tr>
        <w:trPr>
          <w:trHeight w:val="19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61000-4-6</w:t>
            </w:r>
          </w:p>
        </w:tc>
      </w:tr>
      <w:tr>
        <w:trPr>
          <w:trHeight w:val="96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640"/>
              <w:spacing w:after="0" w:line="9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1"/>
                <w:szCs w:val="11"/>
                <w:color w:val="auto"/>
              </w:rPr>
              <w:t>EN 61000-4-8</w:t>
            </w: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1060" w:space="720"/>
            <w:col w:w="2780" w:space="580"/>
            <w:col w:w="4840"/>
          </w:cols>
          <w:pgMar w:left="1120" w:top="935" w:right="1140" w:bottom="0" w:gutter="0" w:footer="0" w:header="0"/>
          <w:type w:val="continuous"/>
        </w:sectPr>
      </w:pPr>
    </w:p>
    <w:p>
      <w:pPr>
        <w:ind w:left="20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构</w:t>
      </w:r>
    </w:p>
    <w:p>
      <w:pPr>
        <w:spacing w:after="0" w:line="54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外壳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IP30, metal shell with solid mounting kits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80"/>
        <w:spacing w:after="0" w:line="194" w:lineRule="exact"/>
        <w:tabs>
          <w:tab w:leader="none" w:pos="300" w:val="left"/>
          <w:tab w:leader="none" w:pos="172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尺寸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 xml:space="preserve"> (W x H x D)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442 x 44 x 352 mm (17.4" x 1.73" x 13.85")</w:t>
      </w:r>
    </w:p>
    <w:p>
      <w:pPr>
        <w:ind w:left="20"/>
        <w:spacing w:after="0" w:line="185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安装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1U 19" Rack mount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1163955</wp:posOffset>
            </wp:positionV>
            <wp:extent cx="824230" cy="2406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IEC 60068-2-27</w:t>
            </w:r>
          </w:p>
        </w:tc>
      </w:tr>
      <w:tr>
        <w:trPr>
          <w:trHeight w:val="190"/>
        </w:trPr>
        <w:tc>
          <w:tcPr>
            <w:tcW w:w="140" w:type="dxa"/>
            <w:vAlign w:val="bottom"/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IEC 60068-2-32</w:t>
            </w:r>
          </w:p>
        </w:tc>
      </w:tr>
      <w:tr>
        <w:trPr>
          <w:trHeight w:val="191"/>
        </w:trPr>
        <w:tc>
          <w:tcPr>
            <w:tcW w:w="140" w:type="dxa"/>
            <w:vAlign w:val="bottom"/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IEC 60068-2-6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-2434590</wp:posOffset>
                </wp:positionH>
                <wp:positionV relativeFrom="paragraph">
                  <wp:posOffset>1307465</wp:posOffset>
                </wp:positionV>
                <wp:extent cx="5511800" cy="16446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191.6999pt;margin-top:102.95pt;width:434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420" w:space="720"/>
            <w:col w:w="4840"/>
          </w:cols>
          <w:pgMar w:left="1120" w:top="935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Industrial Ethernet Solutions</w:t>
      </w:r>
    </w:p>
    <w:p>
      <w:pPr>
        <w:sectPr>
          <w:pgSz w:w="12240" w:h="15930" w:orient="portrait"/>
          <w:cols w:equalWidth="0" w:num="1">
            <w:col w:w="9980"/>
          </w:cols>
          <w:pgMar w:left="1120" w:top="935" w:right="1140" w:bottom="0" w:gutter="0" w:footer="0" w:header="0"/>
          <w:type w:val="continuous"/>
        </w:sectPr>
      </w:pP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864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27-Jun-2018</w:t>
      </w:r>
    </w:p>
    <w:p>
      <w:pPr>
        <w:sectPr>
          <w:pgSz w:w="12240" w:h="15930" w:orient="portrait"/>
          <w:cols w:equalWidth="0" w:num="1">
            <w:col w:w="9980"/>
          </w:cols>
          <w:pgMar w:left="1120" w:top="935" w:right="11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EKI-9728G-4X8CI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100965</wp:posOffset>
                </wp:positionV>
                <wp:extent cx="633222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7.95pt" to="498.3pt,7.9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211455</wp:posOffset>
                </wp:positionV>
                <wp:extent cx="0" cy="359981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599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16.65pt" to="497.8pt,300.1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217805</wp:posOffset>
                </wp:positionV>
                <wp:extent cx="63322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7.15pt" to="498.3pt,17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211455</wp:posOffset>
                </wp:positionV>
                <wp:extent cx="0" cy="359981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599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6.65pt" to="0.15pt,300.1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3804920</wp:posOffset>
                </wp:positionV>
                <wp:extent cx="633222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99.6pt" to="498.3pt,299.6pt" o:allowincell="f" strokecolor="#000000" strokeweight="1pt"/>
            </w:pict>
          </mc:Fallback>
        </mc:AlternateContent>
      </w: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ind w:left="240"/>
        <w:spacing w:after="0"/>
        <w:tabs>
          <w:tab w:leader="none" w:pos="92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结构图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6"/>
          <w:szCs w:val="16"/>
          <w:color w:val="auto"/>
        </w:rPr>
        <w:t>Unit: 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1927860</wp:posOffset>
            </wp:positionH>
            <wp:positionV relativeFrom="paragraph">
              <wp:posOffset>153035</wp:posOffset>
            </wp:positionV>
            <wp:extent cx="2175510" cy="2101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right"/>
        <w:ind w:righ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442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1270635</wp:posOffset>
            </wp:positionH>
            <wp:positionV relativeFrom="paragraph">
              <wp:posOffset>-10160</wp:posOffset>
            </wp:positionV>
            <wp:extent cx="3121660" cy="248856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48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jc w:val="right"/>
        <w:ind w:righ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482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tbl>
      <w:tblPr>
        <w:tblLayout w:type="fixed"/>
        <w:tblInd w:w="267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44</w:t>
            </w:r>
          </w:p>
        </w:tc>
      </w:tr>
    </w:tbl>
    <w:p>
      <w:pPr>
        <w:spacing w:after="0" w:line="267" w:lineRule="exact"/>
        <w:rPr>
          <w:sz w:val="20"/>
          <w:szCs w:val="20"/>
          <w:color w:val="auto"/>
        </w:rPr>
      </w:pPr>
    </w:p>
    <w:p>
      <w:pPr>
        <w:jc w:val="right"/>
        <w:ind w:righ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465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tbl>
      <w:tblPr>
        <w:tblLayout w:type="fixed"/>
        <w:tblInd w:w="108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14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352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306070</wp:posOffset>
            </wp:positionH>
            <wp:positionV relativeFrom="paragraph">
              <wp:posOffset>-902970</wp:posOffset>
            </wp:positionV>
            <wp:extent cx="398145" cy="16471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Ø6.8x10.3 OB Hole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32"/>
        </w:trPr>
        <w:tc>
          <w:tcPr>
            <w:tcW w:w="1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88"/>
              </w:rPr>
              <w:t>6.20</w:t>
            </w:r>
          </w:p>
        </w:tc>
        <w:tc>
          <w:tcPr>
            <w:tcW w:w="1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87"/>
              </w:rPr>
              <w:t>12.70 5.90</w:t>
            </w:r>
          </w:p>
        </w:tc>
      </w:tr>
    </w:tbl>
    <w:p>
      <w:pPr>
        <w:spacing w:after="0" w:line="303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960" w:space="720"/>
            <w:col w:w="328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二级功能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L2 MAC Address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16K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Jumbo Frame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12KB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VLAN Group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4093 (VLAN ID 1~4093)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VLAN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Mac based VLAN, Protocol based VLAN,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IP subnet based VLAN, Port based VLAN, GVRP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Port Mirroring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Per port, Multi-source port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IP Multicast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IGMP Snooping v1/v2/v3, MLD Snooping,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IGMP Immediate leave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Storm Control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Broadcast, Multicast, Unknown unicast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Spanning Tree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IEEE 802.1D-STP, IEEE 802.1s-MSTP,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IEEE 802.1w-RSTP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Unicast Routing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Static Routing, RIPV1/V2, OSPF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QoS</w:t>
      </w:r>
    </w:p>
    <w:p>
      <w:pPr>
        <w:spacing w:after="0" w:line="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Priority Queue</w:t>
            </w:r>
          </w:p>
        </w:tc>
        <w:tc>
          <w:tcPr>
            <w:tcW w:w="30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WRR (Weighted Round Robin), SP (Strict Priority)</w:t>
            </w:r>
          </w:p>
        </w:tc>
      </w:tr>
      <w:tr>
        <w:trPr>
          <w:trHeight w:val="191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Scheduling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01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Class of Service</w:t>
            </w:r>
          </w:p>
        </w:tc>
        <w:tc>
          <w:tcPr>
            <w:tcW w:w="30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5"/>
              </w:rPr>
              <w:t>IEEE 802.1p based CoS, IP TOS, DSCP based CoS</w:t>
            </w:r>
          </w:p>
        </w:tc>
      </w:tr>
      <w:tr>
        <w:trPr>
          <w:trHeight w:val="201"/>
        </w:trPr>
        <w:tc>
          <w:tcPr>
            <w:tcW w:w="140" w:type="dxa"/>
            <w:vAlign w:val="bottom"/>
          </w:tcPr>
          <w:p>
            <w:pPr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Rate Limiting</w:t>
            </w:r>
          </w:p>
        </w:tc>
        <w:tc>
          <w:tcPr>
            <w:tcW w:w="30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Egress Rate limit, Ingress Rate limit</w:t>
            </w:r>
          </w:p>
        </w:tc>
      </w:tr>
      <w:tr>
        <w:trPr>
          <w:trHeight w:val="201"/>
        </w:trPr>
        <w:tc>
          <w:tcPr>
            <w:tcW w:w="140" w:type="dxa"/>
            <w:vAlign w:val="bottom"/>
          </w:tcPr>
          <w:p>
            <w:pPr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Link Aggregation</w:t>
            </w:r>
          </w:p>
        </w:tc>
        <w:tc>
          <w:tcPr>
            <w:tcW w:w="30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IEEE 802.3ad Dynamic Port Trunking, Static Port</w:t>
            </w:r>
          </w:p>
        </w:tc>
      </w:tr>
      <w:tr>
        <w:trPr>
          <w:trHeight w:val="18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Trunking</w:t>
            </w:r>
          </w:p>
        </w:tc>
      </w:tr>
    </w:tbl>
    <w:p>
      <w:pPr>
        <w:spacing w:after="0" w:line="14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安全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Port Security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Static, Dynamic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Authentication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802.1x (Port-Based), RADIUS, TACACS+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Advanced Security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IP Source Guard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管理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DHCP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Client, Server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Access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SNMP v1/v2c/v3, WEB, Telnet, RMON, Standard MIB,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Private MIB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Security Access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SSH 2.0, SSL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Software Upgrade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TFTP, HTTP, Dual Image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NTP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SNTP client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Routing Redunance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VRRP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jc w:val="center"/>
        <w:ind w:right="380"/>
        <w:spacing w:after="0"/>
        <w:tabs>
          <w:tab w:leader="none" w:pos="22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EKI-9728G-4X8CI-AE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Ind. Rackmount L3 Managed Switch with AC/DC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-3254375</wp:posOffset>
                </wp:positionH>
                <wp:positionV relativeFrom="paragraph">
                  <wp:posOffset>4185920</wp:posOffset>
                </wp:positionV>
                <wp:extent cx="6331585" cy="16446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-256.2499pt;margin-top:329.6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4197985</wp:posOffset>
                </wp:positionV>
                <wp:extent cx="1560195" cy="13970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94.25pt;margin-top:330.5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662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760" w:space="360"/>
            <w:col w:w="4840"/>
          </w:cols>
          <w:pgMar w:left="1140" w:top="1440" w:right="1140" w:bottom="0" w:gutter="0" w:footer="0" w:header="0"/>
          <w:type w:val="continuous"/>
        </w:sect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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2019-11-18T16:01:20Z</dcterms:created>
  <dcterms:modified xsi:type="dcterms:W3CDTF">2019-11-18T16:01:20Z</dcterms:modified>
</cp:coreProperties>
</file>