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9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0</wp:posOffset>
            </wp:positionV>
            <wp:extent cx="899795" cy="12122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40"/>
        <w:spacing w:after="0" w:line="25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64"/>
          <w:szCs w:val="64"/>
          <w:b w:val="1"/>
          <w:bCs w:val="1"/>
          <w:color w:val="00044C"/>
        </w:rPr>
        <w:t>EKI-7708E-4FP EKI-7708E-4FPI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-22860</wp:posOffset>
            </wp:positionV>
            <wp:extent cx="6332220" cy="2431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43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6" w:lineRule="exact"/>
        <w:rPr>
          <w:sz w:val="24"/>
          <w:szCs w:val="24"/>
          <w:color w:val="auto"/>
        </w:rPr>
      </w:pPr>
    </w:p>
    <w:p>
      <w:pPr>
        <w:ind w:right="680"/>
        <w:spacing w:after="0" w:line="326" w:lineRule="exact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28"/>
          <w:szCs w:val="28"/>
          <w:b w:val="1"/>
          <w:bCs w:val="1"/>
          <w:color w:val="333333"/>
        </w:rPr>
        <w:t>4</w:t>
      </w:r>
      <w:r>
        <w:rPr>
          <w:rFonts w:ascii="Arial Black" w:cs="Arial Black" w:eastAsia="Arial Black" w:hAnsi="Arial Black"/>
          <w:sz w:val="28"/>
          <w:szCs w:val="28"/>
          <w:b w:val="1"/>
          <w:bCs w:val="1"/>
          <w:color w:val="333333"/>
        </w:rPr>
        <w:t>FE</w:t>
      </w:r>
      <w:r>
        <w:rPr>
          <w:rFonts w:ascii="Helvetica" w:cs="Helvetica" w:eastAsia="Helvetica" w:hAnsi="Helvetica"/>
          <w:sz w:val="28"/>
          <w:szCs w:val="28"/>
          <w:b w:val="1"/>
          <w:bCs w:val="1"/>
          <w:color w:val="333333"/>
        </w:rPr>
        <w:t>+4G SFP</w:t>
      </w:r>
      <w:r>
        <w:rPr>
          <w:rFonts w:ascii="宋体" w:cs="宋体" w:eastAsia="宋体" w:hAnsi="宋体"/>
          <w:sz w:val="28"/>
          <w:szCs w:val="28"/>
          <w:b w:val="1"/>
          <w:bCs w:val="1"/>
          <w:color w:val="333333"/>
        </w:rPr>
        <w:t>端口千兆网管型工业</w:t>
      </w:r>
      <w:r>
        <w:rPr>
          <w:rFonts w:ascii="Arial" w:cs="Arial" w:eastAsia="Arial" w:hAnsi="Arial"/>
          <w:sz w:val="28"/>
          <w:szCs w:val="28"/>
          <w:b w:val="1"/>
          <w:bCs w:val="1"/>
          <w:color w:val="333333"/>
        </w:rPr>
        <w:t>POE</w:t>
      </w:r>
      <w:r>
        <w:rPr>
          <w:rFonts w:ascii="宋体" w:cs="宋体" w:eastAsia="宋体" w:hAnsi="宋体"/>
          <w:sz w:val="28"/>
          <w:szCs w:val="28"/>
          <w:b w:val="1"/>
          <w:bCs w:val="1"/>
          <w:color w:val="333333"/>
        </w:rPr>
        <w:t>以太网交换机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207010</wp:posOffset>
                </wp:positionV>
                <wp:extent cx="3075305" cy="230378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305" cy="2303780"/>
                        </a:xfrm>
                        <a:prstGeom prst="rect">
                          <a:avLst/>
                        </a:prstGeom>
                        <a:solidFill>
                          <a:srgbClr val="D9DAE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-8.8499pt;margin-top:16.3pt;width:242.15pt;height:181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AE3" stroked="f"/>
            </w:pict>
          </mc:Fallback>
        </mc:AlternateContent>
      </w: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sectPr>
          <w:pgSz w:w="12240" w:h="15930" w:orient="portrait"/>
          <w:cols w:equalWidth="0" w:num="2">
            <w:col w:w="4740" w:space="560"/>
            <w:col w:w="4660"/>
          </w:cols>
          <w:pgMar w:left="1140" w:top="534" w:right="1140" w:bottom="0" w:gutter="0" w:footer="0" w:header="0"/>
        </w:sectPr>
      </w:pPr>
    </w:p>
    <w:p>
      <w:pPr>
        <w:spacing w:after="0" w:line="92" w:lineRule="exact"/>
        <w:rPr>
          <w:sz w:val="24"/>
          <w:szCs w:val="24"/>
          <w:color w:val="auto"/>
        </w:rPr>
      </w:pPr>
    </w:p>
    <w:p>
      <w:pPr>
        <w:ind w:left="530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00044C"/>
        </w:rPr>
        <w:t>特性</w:t>
      </w:r>
    </w:p>
    <w:p>
      <w:pPr>
        <w:spacing w:after="0" w:line="10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Helvetica" w:cs="Helvetica" w:eastAsia="Helvetica" w:hAnsi="Helvetica"/>
          <w:sz w:val="16"/>
          <w:szCs w:val="16"/>
          <w:color w:val="auto"/>
        </w:rPr>
        <w:t>4</w:t>
      </w:r>
      <w:r>
        <w:rPr>
          <w:rFonts w:ascii="宋体" w:cs="宋体" w:eastAsia="宋体" w:hAnsi="宋体"/>
          <w:sz w:val="16"/>
          <w:szCs w:val="16"/>
          <w:color w:val="auto"/>
        </w:rPr>
        <w:t>个</w:t>
      </w:r>
      <w:r>
        <w:rPr>
          <w:rFonts w:ascii="Helvetica" w:cs="Helvetica" w:eastAsia="Helvetica" w:hAnsi="Helvetica"/>
          <w:sz w:val="16"/>
          <w:szCs w:val="16"/>
          <w:color w:val="auto"/>
        </w:rPr>
        <w:t>IEEE 802.3 AF/AT PoE</w:t>
      </w:r>
      <w:r>
        <w:rPr>
          <w:rFonts w:ascii="宋体" w:cs="宋体" w:eastAsia="宋体" w:hAnsi="宋体"/>
          <w:sz w:val="16"/>
          <w:szCs w:val="16"/>
          <w:color w:val="auto"/>
        </w:rPr>
        <w:t>快速以太网端口</w:t>
      </w:r>
      <w:r>
        <w:rPr>
          <w:rFonts w:ascii="Helvetica" w:cs="Helvetica" w:eastAsia="Helvetica" w:hAnsi="Helvetica"/>
          <w:sz w:val="16"/>
          <w:szCs w:val="16"/>
          <w:color w:val="auto"/>
        </w:rPr>
        <w:t>+4</w:t>
      </w:r>
      <w:r>
        <w:rPr>
          <w:rFonts w:ascii="宋体" w:cs="宋体" w:eastAsia="宋体" w:hAnsi="宋体"/>
          <w:sz w:val="16"/>
          <w:szCs w:val="16"/>
          <w:color w:val="auto"/>
        </w:rPr>
        <w:t>个</w:t>
      </w:r>
      <w:r>
        <w:rPr>
          <w:rFonts w:ascii="Helvetica" w:cs="Helvetica" w:eastAsia="Helvetica" w:hAnsi="Helvetica"/>
          <w:sz w:val="16"/>
          <w:szCs w:val="16"/>
          <w:color w:val="auto"/>
        </w:rPr>
        <w:t>SFP</w:t>
      </w:r>
      <w:r>
        <w:rPr>
          <w:rFonts w:ascii="宋体" w:cs="宋体" w:eastAsia="宋体" w:hAnsi="宋体"/>
          <w:sz w:val="16"/>
          <w:szCs w:val="16"/>
          <w:color w:val="auto"/>
        </w:rPr>
        <w:t>端口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Helvetica" w:cs="Helvetica" w:eastAsia="Helvetica" w:hAnsi="Helvetica"/>
          <w:sz w:val="16"/>
          <w:szCs w:val="16"/>
          <w:color w:val="auto"/>
        </w:rPr>
        <w:t>SFP</w:t>
      </w:r>
      <w:r>
        <w:rPr>
          <w:rFonts w:ascii="宋体" w:cs="宋体" w:eastAsia="宋体" w:hAnsi="宋体"/>
          <w:sz w:val="16"/>
          <w:szCs w:val="16"/>
          <w:color w:val="auto"/>
        </w:rPr>
        <w:t>插座，方便灵活的光纤扩展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5300" w:right="1000"/>
        <w:spacing w:after="0" w:line="215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宋体" w:cs="宋体" w:eastAsia="宋体" w:hAnsi="宋体"/>
          <w:sz w:val="16"/>
          <w:szCs w:val="16"/>
          <w:color w:val="auto"/>
        </w:rPr>
        <w:t>冗余：</w:t>
      </w:r>
      <w:r>
        <w:rPr>
          <w:rFonts w:ascii="Helvetica" w:cs="Helvetica" w:eastAsia="Helvetica" w:hAnsi="Helvetica"/>
          <w:sz w:val="16"/>
          <w:szCs w:val="16"/>
          <w:color w:val="auto"/>
        </w:rPr>
        <w:t>X-Ring Pro</w:t>
      </w:r>
      <w:r>
        <w:rPr>
          <w:rFonts w:ascii="宋体" w:cs="宋体" w:eastAsia="宋体" w:hAnsi="宋体"/>
          <w:sz w:val="16"/>
          <w:szCs w:val="16"/>
          <w:color w:val="auto"/>
        </w:rPr>
        <w:t>（超高速恢复时间，</w:t>
      </w:r>
      <w:r>
        <w:rPr>
          <w:rFonts w:ascii="Helvetica" w:cs="Helvetica" w:eastAsia="Helvetica" w:hAnsi="Helvetica"/>
          <w:sz w:val="16"/>
          <w:szCs w:val="16"/>
          <w:color w:val="auto"/>
        </w:rPr>
        <w:t>&lt;20 ms</w:t>
      </w:r>
      <w:r>
        <w:rPr>
          <w:rFonts w:ascii="宋体" w:cs="宋体" w:eastAsia="宋体" w:hAnsi="宋体"/>
          <w:sz w:val="16"/>
          <w:szCs w:val="16"/>
          <w:color w:val="auto"/>
        </w:rPr>
        <w:t>），</w:t>
      </w:r>
      <w:r>
        <w:rPr>
          <w:rFonts w:ascii="Helvetica" w:cs="Helvetica" w:eastAsia="Helvetica" w:hAnsi="Helvetica"/>
          <w:sz w:val="16"/>
          <w:szCs w:val="16"/>
          <w:color w:val="auto"/>
        </w:rPr>
        <w:t>RSTP</w:t>
      </w: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 </w:t>
      </w:r>
      <w:r>
        <w:rPr>
          <w:rFonts w:ascii="Helvetica" w:cs="Helvetica" w:eastAsia="Helvetica" w:hAnsi="Helvetica"/>
          <w:sz w:val="16"/>
          <w:szCs w:val="16"/>
          <w:color w:val="auto"/>
        </w:rPr>
        <w:t>STP</w:t>
      </w:r>
      <w:r>
        <w:rPr>
          <w:rFonts w:ascii="宋体" w:cs="宋体" w:eastAsia="宋体" w:hAnsi="宋体"/>
          <w:sz w:val="16"/>
          <w:szCs w:val="16"/>
          <w:color w:val="auto"/>
        </w:rPr>
        <w:t>（</w:t>
      </w:r>
      <w:r>
        <w:rPr>
          <w:rFonts w:ascii="Helvetica" w:cs="Helvetica" w:eastAsia="Helvetica" w:hAnsi="Helvetica"/>
          <w:sz w:val="16"/>
          <w:szCs w:val="16"/>
          <w:color w:val="auto"/>
        </w:rPr>
        <w:t>802.1w/1d</w:t>
      </w:r>
      <w:r>
        <w:rPr>
          <w:rFonts w:ascii="宋体" w:cs="宋体" w:eastAsia="宋体" w:hAnsi="宋体"/>
          <w:sz w:val="16"/>
          <w:szCs w:val="16"/>
          <w:color w:val="auto"/>
        </w:rPr>
        <w:t>）</w:t>
      </w:r>
    </w:p>
    <w:p>
      <w:pPr>
        <w:spacing w:after="0" w:line="47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Helvetica" w:cs="Helvetica" w:eastAsia="Helvetica" w:hAnsi="Helvetica"/>
          <w:sz w:val="16"/>
          <w:szCs w:val="16"/>
          <w:color w:val="auto"/>
        </w:rPr>
        <w:t>IXM</w:t>
      </w:r>
      <w:r>
        <w:rPr>
          <w:rFonts w:ascii="宋体" w:cs="宋体" w:eastAsia="宋体" w:hAnsi="宋体"/>
          <w:sz w:val="16"/>
          <w:szCs w:val="16"/>
          <w:color w:val="auto"/>
        </w:rPr>
        <w:t>功能支持快速部署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宋体" w:cs="宋体" w:eastAsia="宋体" w:hAnsi="宋体"/>
          <w:sz w:val="16"/>
          <w:szCs w:val="16"/>
          <w:color w:val="auto"/>
        </w:rPr>
        <w:t>安全：</w:t>
      </w:r>
      <w:r>
        <w:rPr>
          <w:rFonts w:ascii="Helvetica" w:cs="Helvetica" w:eastAsia="Helvetica" w:hAnsi="Helvetica"/>
          <w:sz w:val="16"/>
          <w:szCs w:val="16"/>
          <w:color w:val="auto"/>
        </w:rPr>
        <w:t>802.1X</w:t>
      </w:r>
      <w:r>
        <w:rPr>
          <w:rFonts w:ascii="宋体" w:cs="宋体" w:eastAsia="宋体" w:hAnsi="宋体"/>
          <w:sz w:val="16"/>
          <w:szCs w:val="16"/>
          <w:color w:val="auto"/>
        </w:rPr>
        <w:t>（基于端口，</w:t>
      </w:r>
      <w:r>
        <w:rPr>
          <w:rFonts w:ascii="Helvetica" w:cs="Helvetica" w:eastAsia="Helvetica" w:hAnsi="Helvetica"/>
          <w:sz w:val="16"/>
          <w:szCs w:val="16"/>
          <w:color w:val="auto"/>
        </w:rPr>
        <w:t>MD5/TLS/TTLS/PEAP</w:t>
      </w:r>
      <w:r>
        <w:rPr>
          <w:rFonts w:ascii="宋体" w:cs="宋体" w:eastAsia="宋体" w:hAnsi="宋体"/>
          <w:sz w:val="16"/>
          <w:szCs w:val="16"/>
          <w:color w:val="auto"/>
        </w:rPr>
        <w:t>加密），</w:t>
      </w:r>
      <w:r>
        <w:rPr>
          <w:rFonts w:ascii="Helvetica" w:cs="Helvetica" w:eastAsia="Helvetica" w:hAnsi="Helvetica"/>
          <w:sz w:val="16"/>
          <w:szCs w:val="16"/>
          <w:color w:val="auto"/>
        </w:rPr>
        <w:t>radius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宋体" w:cs="宋体" w:eastAsia="宋体" w:hAnsi="宋体"/>
          <w:sz w:val="16"/>
          <w:szCs w:val="16"/>
          <w:color w:val="auto"/>
        </w:rPr>
        <w:t>管理：</w:t>
      </w:r>
      <w:r>
        <w:rPr>
          <w:rFonts w:ascii="Helvetica" w:cs="Helvetica" w:eastAsia="Helvetica" w:hAnsi="Helvetica"/>
          <w:sz w:val="16"/>
          <w:szCs w:val="16"/>
          <w:color w:val="auto"/>
        </w:rPr>
        <w:t>SNMP v1/v2c/v3</w:t>
      </w:r>
      <w:r>
        <w:rPr>
          <w:rFonts w:ascii="宋体" w:cs="宋体" w:eastAsia="宋体" w:hAnsi="宋体"/>
          <w:sz w:val="16"/>
          <w:szCs w:val="16"/>
          <w:color w:val="auto"/>
        </w:rPr>
        <w:t>、</w:t>
      </w:r>
      <w:r>
        <w:rPr>
          <w:rFonts w:ascii="Helvetica" w:cs="Helvetica" w:eastAsia="Helvetica" w:hAnsi="Helvetica"/>
          <w:sz w:val="16"/>
          <w:szCs w:val="16"/>
          <w:color w:val="auto"/>
        </w:rPr>
        <w:t>web</w:t>
      </w:r>
      <w:r>
        <w:rPr>
          <w:rFonts w:ascii="宋体" w:cs="宋体" w:eastAsia="宋体" w:hAnsi="宋体"/>
          <w:sz w:val="16"/>
          <w:szCs w:val="16"/>
          <w:color w:val="auto"/>
        </w:rPr>
        <w:t>、</w:t>
      </w:r>
      <w:r>
        <w:rPr>
          <w:rFonts w:ascii="Helvetica" w:cs="Helvetica" w:eastAsia="Helvetica" w:hAnsi="Helvetica"/>
          <w:sz w:val="16"/>
          <w:szCs w:val="16"/>
          <w:color w:val="auto"/>
        </w:rPr>
        <w:t>telnet</w:t>
      </w:r>
      <w:r>
        <w:rPr>
          <w:rFonts w:ascii="宋体" w:cs="宋体" w:eastAsia="宋体" w:hAnsi="宋体"/>
          <w:sz w:val="16"/>
          <w:szCs w:val="16"/>
          <w:color w:val="auto"/>
        </w:rPr>
        <w:t>、标准</w:t>
      </w:r>
      <w:r>
        <w:rPr>
          <w:rFonts w:ascii="Helvetica" w:cs="Helvetica" w:eastAsia="Helvetica" w:hAnsi="Helvetica"/>
          <w:sz w:val="16"/>
          <w:szCs w:val="16"/>
          <w:color w:val="auto"/>
        </w:rPr>
        <w:t>MIB</w:t>
      </w:r>
      <w:r>
        <w:rPr>
          <w:rFonts w:ascii="宋体" w:cs="宋体" w:eastAsia="宋体" w:hAnsi="宋体"/>
          <w:sz w:val="16"/>
          <w:szCs w:val="16"/>
          <w:color w:val="auto"/>
        </w:rPr>
        <w:t>、私有</w:t>
      </w:r>
      <w:r>
        <w:rPr>
          <w:rFonts w:ascii="Helvetica" w:cs="Helvetica" w:eastAsia="Helvetica" w:hAnsi="Helvetica"/>
          <w:sz w:val="16"/>
          <w:szCs w:val="16"/>
          <w:color w:val="auto"/>
        </w:rPr>
        <w:t>MIB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宋体" w:cs="宋体" w:eastAsia="宋体" w:hAnsi="宋体"/>
          <w:sz w:val="16"/>
          <w:szCs w:val="16"/>
          <w:color w:val="auto"/>
        </w:rPr>
        <w:t>用于交通控制的</w:t>
      </w:r>
      <w:r>
        <w:rPr>
          <w:rFonts w:ascii="Helvetica" w:cs="Helvetica" w:eastAsia="Helvetica" w:hAnsi="Helvetica"/>
          <w:sz w:val="16"/>
          <w:szCs w:val="16"/>
          <w:color w:val="auto"/>
        </w:rPr>
        <w:t>NEMA TS2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Helvetica" w:cs="Helvetica" w:eastAsia="Helvetica" w:hAnsi="Helvetica"/>
          <w:sz w:val="16"/>
          <w:szCs w:val="16"/>
          <w:color w:val="auto"/>
        </w:rPr>
        <w:t>EN50121-4</w:t>
      </w:r>
      <w:r>
        <w:rPr>
          <w:rFonts w:ascii="宋体" w:cs="宋体" w:eastAsia="宋体" w:hAnsi="宋体"/>
          <w:sz w:val="16"/>
          <w:szCs w:val="16"/>
          <w:color w:val="auto"/>
        </w:rPr>
        <w:t>铁路轨旁部署审批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宋体" w:cs="宋体" w:eastAsia="宋体" w:hAnsi="宋体"/>
          <w:sz w:val="16"/>
          <w:szCs w:val="16"/>
          <w:color w:val="auto"/>
        </w:rPr>
        <w:t>宽工作温度范围</w:t>
      </w:r>
      <w:r>
        <w:rPr>
          <w:rFonts w:ascii="Helvetica" w:cs="Helvetica" w:eastAsia="Helvetica" w:hAnsi="Helvetica"/>
          <w:sz w:val="16"/>
          <w:szCs w:val="16"/>
          <w:color w:val="auto"/>
        </w:rPr>
        <w:t>-40~75°C</w:t>
      </w:r>
      <w:r>
        <w:rPr>
          <w:rFonts w:ascii="宋体" w:cs="宋体" w:eastAsia="宋体" w:hAnsi="宋体"/>
          <w:sz w:val="16"/>
          <w:szCs w:val="16"/>
          <w:color w:val="auto"/>
        </w:rPr>
        <w:t>（</w:t>
      </w:r>
      <w:r>
        <w:rPr>
          <w:rFonts w:ascii="Helvetica" w:cs="Helvetica" w:eastAsia="Helvetica" w:hAnsi="Helvetica"/>
          <w:sz w:val="16"/>
          <w:szCs w:val="16"/>
          <w:color w:val="auto"/>
        </w:rPr>
        <w:t>EKI-7708E-4FPI</w:t>
      </w:r>
      <w:r>
        <w:rPr>
          <w:rFonts w:ascii="宋体" w:cs="宋体" w:eastAsia="宋体" w:hAnsi="宋体"/>
          <w:sz w:val="16"/>
          <w:szCs w:val="16"/>
          <w:color w:val="auto"/>
        </w:rPr>
        <w:t>）</w:t>
      </w:r>
    </w:p>
    <w:p>
      <w:pPr>
        <w:spacing w:after="0" w:line="46" w:lineRule="exact"/>
        <w:rPr>
          <w:sz w:val="24"/>
          <w:szCs w:val="24"/>
          <w:color w:val="auto"/>
        </w:rPr>
      </w:pPr>
    </w:p>
    <w:p>
      <w:pPr>
        <w:ind w:left="5300"/>
        <w:spacing w:after="0" w:line="194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rFonts w:ascii="宋体" w:cs="宋体" w:eastAsia="宋体" w:hAnsi="宋体"/>
          <w:sz w:val="16"/>
          <w:szCs w:val="16"/>
          <w:color w:val="auto"/>
        </w:rPr>
        <w:t>双</w:t>
      </w:r>
      <w:r>
        <w:rPr>
          <w:rFonts w:ascii="Helvetica" w:cs="Helvetica" w:eastAsia="Helvetica" w:hAnsi="Helvetica"/>
          <w:sz w:val="16"/>
          <w:szCs w:val="16"/>
          <w:color w:val="auto"/>
        </w:rPr>
        <w:t>48 Vdc</w:t>
      </w:r>
      <w:r>
        <w:rPr>
          <w:rFonts w:ascii="宋体" w:cs="宋体" w:eastAsia="宋体" w:hAnsi="宋体"/>
          <w:sz w:val="16"/>
          <w:szCs w:val="16"/>
          <w:color w:val="auto"/>
        </w:rPr>
        <w:t>电源输入和</w:t>
      </w:r>
      <w:r>
        <w:rPr>
          <w:rFonts w:ascii="Helvetica" w:cs="Helvetica" w:eastAsia="Helvetica" w:hAnsi="Helvetica"/>
          <w:sz w:val="16"/>
          <w:szCs w:val="16"/>
          <w:color w:val="auto"/>
        </w:rPr>
        <w:t>1 x</w:t>
      </w:r>
      <w:r>
        <w:rPr>
          <w:rFonts w:ascii="宋体" w:cs="宋体" w:eastAsia="宋体" w:hAnsi="宋体"/>
          <w:sz w:val="16"/>
          <w:szCs w:val="16"/>
          <w:color w:val="auto"/>
        </w:rPr>
        <w:t>继电器输出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1531620</wp:posOffset>
            </wp:positionH>
            <wp:positionV relativeFrom="paragraph">
              <wp:posOffset>327660</wp:posOffset>
            </wp:positionV>
            <wp:extent cx="1544320" cy="2425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4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ind w:left="3400"/>
        <w:spacing w:after="0"/>
        <w:rPr>
          <w:sz w:val="20"/>
          <w:szCs w:val="20"/>
          <w:color w:val="auto"/>
        </w:rPr>
      </w:pPr>
      <w:r>
        <w:rPr>
          <w:rFonts w:ascii="Arial Black" w:cs="Arial Black" w:eastAsia="Arial Black" w:hAnsi="Arial Black"/>
          <w:sz w:val="8"/>
          <w:szCs w:val="8"/>
          <w:b w:val="1"/>
          <w:bCs w:val="1"/>
          <w:color w:val="404040"/>
        </w:rPr>
        <w:t>RoHS</w:t>
      </w:r>
    </w:p>
    <w:p>
      <w:pPr>
        <w:ind w:left="3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"/>
          <w:szCs w:val="5"/>
          <w:b w:val="1"/>
          <w:bCs w:val="1"/>
          <w:color w:val="595959"/>
        </w:rPr>
        <w:t>COMPLIANT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3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"/>
          <w:szCs w:val="4"/>
          <w:color w:val="auto"/>
        </w:rPr>
        <w:t>2002/95/EC</w:t>
      </w:r>
    </w:p>
    <w:p>
      <w:pPr>
        <w:spacing w:after="0" w:line="116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00044C"/>
        </w:rPr>
        <w:t>介绍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spacing w:after="0" w:line="195" w:lineRule="exact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5"/>
          <w:szCs w:val="15"/>
          <w:color w:val="auto"/>
        </w:rPr>
        <w:t>EKI-7708E-4FP/4FPI</w:t>
      </w:r>
      <w:r>
        <w:rPr>
          <w:rFonts w:ascii="宋体" w:cs="宋体" w:eastAsia="宋体" w:hAnsi="宋体"/>
          <w:sz w:val="15"/>
          <w:szCs w:val="15"/>
          <w:color w:val="auto"/>
        </w:rPr>
        <w:t>提供</w:t>
      </w:r>
      <w:r>
        <w:rPr>
          <w:rFonts w:ascii="Helvetica" w:cs="Helvetica" w:eastAsia="Helvetica" w:hAnsi="Helvetica"/>
          <w:sz w:val="15"/>
          <w:szCs w:val="15"/>
          <w:color w:val="auto"/>
        </w:rPr>
        <w:t>4</w:t>
      </w:r>
      <w:r>
        <w:rPr>
          <w:rFonts w:ascii="宋体" w:cs="宋体" w:eastAsia="宋体" w:hAnsi="宋体"/>
          <w:sz w:val="15"/>
          <w:szCs w:val="15"/>
          <w:color w:val="auto"/>
        </w:rPr>
        <w:t>个快速以太网</w:t>
      </w:r>
      <w:r>
        <w:rPr>
          <w:rFonts w:ascii="Helvetica" w:cs="Helvetica" w:eastAsia="Helvetica" w:hAnsi="Helvetica"/>
          <w:sz w:val="15"/>
          <w:szCs w:val="15"/>
          <w:color w:val="auto"/>
        </w:rPr>
        <w:t>IEEE 802.3 AF/AT PoE</w:t>
      </w:r>
      <w:r>
        <w:rPr>
          <w:rFonts w:ascii="宋体" w:cs="宋体" w:eastAsia="宋体" w:hAnsi="宋体"/>
          <w:sz w:val="15"/>
          <w:szCs w:val="15"/>
          <w:color w:val="auto"/>
        </w:rPr>
        <w:t>端口和</w:t>
      </w:r>
      <w:r>
        <w:rPr>
          <w:rFonts w:ascii="Helvetica" w:cs="Helvetica" w:eastAsia="Helvetica" w:hAnsi="Helvetica"/>
          <w:sz w:val="15"/>
          <w:szCs w:val="15"/>
          <w:color w:val="auto"/>
        </w:rPr>
        <w:t>4</w:t>
      </w:r>
      <w:r>
        <w:rPr>
          <w:rFonts w:ascii="宋体" w:cs="宋体" w:eastAsia="宋体" w:hAnsi="宋体"/>
          <w:sz w:val="15"/>
          <w:szCs w:val="15"/>
          <w:color w:val="auto"/>
        </w:rPr>
        <w:t>个</w:t>
      </w:r>
      <w:r>
        <w:rPr>
          <w:rFonts w:ascii="Helvetica" w:cs="Helvetica" w:eastAsia="Helvetica" w:hAnsi="Helvetica"/>
          <w:sz w:val="15"/>
          <w:szCs w:val="15"/>
          <w:color w:val="auto"/>
        </w:rPr>
        <w:t>SFP</w:t>
      </w:r>
      <w:r>
        <w:rPr>
          <w:rFonts w:ascii="宋体" w:cs="宋体" w:eastAsia="宋体" w:hAnsi="宋体"/>
          <w:sz w:val="15"/>
          <w:szCs w:val="15"/>
          <w:color w:val="auto"/>
        </w:rPr>
        <w:t>（</w:t>
      </w:r>
      <w:r>
        <w:rPr>
          <w:rFonts w:ascii="Helvetica" w:cs="Helvetica" w:eastAsia="Helvetica" w:hAnsi="Helvetica"/>
          <w:sz w:val="15"/>
          <w:szCs w:val="15"/>
          <w:color w:val="auto"/>
        </w:rPr>
        <w:t>mini-GBIC</w:t>
      </w:r>
      <w:r>
        <w:rPr>
          <w:rFonts w:ascii="宋体" w:cs="宋体" w:eastAsia="宋体" w:hAnsi="宋体"/>
          <w:sz w:val="15"/>
          <w:szCs w:val="15"/>
          <w:color w:val="auto"/>
        </w:rPr>
        <w:t>）端口。它们可以为每个端口提供高达</w:t>
      </w:r>
      <w:r>
        <w:rPr>
          <w:rFonts w:ascii="Helvetica" w:cs="Helvetica" w:eastAsia="Helvetica" w:hAnsi="Helvetica"/>
          <w:sz w:val="15"/>
          <w:szCs w:val="15"/>
          <w:color w:val="auto"/>
        </w:rPr>
        <w:t>30 W</w:t>
      </w:r>
      <w:r>
        <w:rPr>
          <w:rFonts w:ascii="宋体" w:cs="宋体" w:eastAsia="宋体" w:hAnsi="宋体"/>
          <w:sz w:val="15"/>
          <w:szCs w:val="15"/>
          <w:color w:val="auto"/>
        </w:rPr>
        <w:t>的功率，以满足高功耗功率设备的要求。它们嵌入了</w:t>
      </w:r>
      <w:r>
        <w:rPr>
          <w:rFonts w:ascii="Helvetica" w:cs="Helvetica" w:eastAsia="Helvetica" w:hAnsi="Helvetica"/>
          <w:sz w:val="15"/>
          <w:szCs w:val="15"/>
          <w:color w:val="auto"/>
        </w:rPr>
        <w:t>Advantech</w:t>
      </w:r>
      <w:r>
        <w:rPr>
          <w:rFonts w:ascii="宋体" w:cs="宋体" w:eastAsia="宋体" w:hAnsi="宋体"/>
          <w:sz w:val="15"/>
          <w:szCs w:val="15"/>
          <w:color w:val="auto"/>
        </w:rPr>
        <w:t>的</w:t>
      </w:r>
      <w:r>
        <w:rPr>
          <w:rFonts w:ascii="Helvetica" w:cs="Helvetica" w:eastAsia="Helvetica" w:hAnsi="Helvetica"/>
          <w:sz w:val="15"/>
          <w:szCs w:val="15"/>
          <w:color w:val="auto"/>
        </w:rPr>
        <w:t>IxM</w:t>
      </w:r>
      <w:r>
        <w:rPr>
          <w:rFonts w:ascii="宋体" w:cs="宋体" w:eastAsia="宋体" w:hAnsi="宋体"/>
          <w:sz w:val="15"/>
          <w:szCs w:val="15"/>
          <w:color w:val="auto"/>
        </w:rPr>
        <w:t>功能，可以通过快速部署为用户带来好处，并且可以大大节省工程时间和成本。</w:t>
      </w:r>
      <w:r>
        <w:rPr>
          <w:rFonts w:ascii="Helvetica" w:cs="Helvetica" w:eastAsia="Helvetica" w:hAnsi="Helvetica"/>
          <w:sz w:val="15"/>
          <w:szCs w:val="15"/>
          <w:color w:val="auto"/>
        </w:rPr>
        <w:t>eki-7708e</w:t>
      </w:r>
      <w:r>
        <w:rPr>
          <w:rFonts w:ascii="宋体" w:cs="宋体" w:eastAsia="宋体" w:hAnsi="宋体"/>
          <w:sz w:val="15"/>
          <w:szCs w:val="15"/>
          <w:color w:val="auto"/>
        </w:rPr>
        <w:t>系列还支持</w:t>
      </w:r>
      <w:r>
        <w:rPr>
          <w:rFonts w:ascii="Helvetica" w:cs="Helvetica" w:eastAsia="Helvetica" w:hAnsi="Helvetica"/>
          <w:sz w:val="15"/>
          <w:szCs w:val="15"/>
          <w:color w:val="auto"/>
        </w:rPr>
        <w:t>NMS</w:t>
      </w:r>
      <w:r>
        <w:rPr>
          <w:rFonts w:ascii="宋体" w:cs="宋体" w:eastAsia="宋体" w:hAnsi="宋体"/>
          <w:sz w:val="15"/>
          <w:szCs w:val="15"/>
          <w:color w:val="auto"/>
        </w:rPr>
        <w:t>，帮助</w:t>
      </w:r>
      <w:r>
        <w:rPr>
          <w:rFonts w:ascii="Helvetica" w:cs="Helvetica" w:eastAsia="Helvetica" w:hAnsi="Helvetica"/>
          <w:sz w:val="15"/>
          <w:szCs w:val="15"/>
          <w:color w:val="auto"/>
        </w:rPr>
        <w:t>IT</w:t>
      </w:r>
      <w:r>
        <w:rPr>
          <w:rFonts w:ascii="宋体" w:cs="宋体" w:eastAsia="宋体" w:hAnsi="宋体"/>
          <w:sz w:val="15"/>
          <w:szCs w:val="15"/>
          <w:color w:val="auto"/>
        </w:rPr>
        <w:t>经理进行网络维护和故障预防。最后，他们配备了</w:t>
      </w:r>
      <w:r>
        <w:rPr>
          <w:rFonts w:ascii="Helvetica" w:cs="Helvetica" w:eastAsia="Helvetica" w:hAnsi="Helvetica"/>
          <w:sz w:val="15"/>
          <w:szCs w:val="15"/>
          <w:color w:val="auto"/>
        </w:rPr>
        <w:t>X-Ring Pro</w:t>
      </w:r>
      <w:r>
        <w:rPr>
          <w:rFonts w:ascii="宋体" w:cs="宋体" w:eastAsia="宋体" w:hAnsi="宋体"/>
          <w:sz w:val="15"/>
          <w:szCs w:val="15"/>
          <w:color w:val="auto"/>
        </w:rPr>
        <w:t>，可以实现</w:t>
      </w:r>
      <w:r>
        <w:rPr>
          <w:rFonts w:ascii="Helvetica" w:cs="Helvetica" w:eastAsia="Helvetica" w:hAnsi="Helvetica"/>
          <w:sz w:val="15"/>
          <w:szCs w:val="15"/>
          <w:color w:val="auto"/>
        </w:rPr>
        <w:t>&lt;20 ms</w:t>
      </w:r>
      <w:r>
        <w:rPr>
          <w:rFonts w:ascii="宋体" w:cs="宋体" w:eastAsia="宋体" w:hAnsi="宋体"/>
          <w:sz w:val="15"/>
          <w:szCs w:val="15"/>
          <w:color w:val="auto"/>
        </w:rPr>
        <w:t>的超高速恢复时间，从而确保网络的稳定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right="340"/>
        <w:spacing w:after="0" w:line="19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6"/>
          <w:szCs w:val="16"/>
          <w:color w:val="auto"/>
        </w:rPr>
        <w:t>性。</w:t>
      </w:r>
      <w:r>
        <w:rPr>
          <w:rFonts w:ascii="Helvetica" w:cs="Helvetica" w:eastAsia="Helvetica" w:hAnsi="Helvetica"/>
          <w:sz w:val="16"/>
          <w:szCs w:val="16"/>
          <w:color w:val="auto"/>
        </w:rPr>
        <w:t>EKI-7708E-4FPI</w:t>
      </w:r>
      <w:r>
        <w:rPr>
          <w:rFonts w:ascii="宋体" w:cs="宋体" w:eastAsia="宋体" w:hAnsi="宋体"/>
          <w:sz w:val="16"/>
          <w:szCs w:val="16"/>
          <w:color w:val="auto"/>
        </w:rPr>
        <w:t>还特别具有</w:t>
      </w:r>
      <w:r>
        <w:rPr>
          <w:rFonts w:ascii="Helvetica" w:cs="Helvetica" w:eastAsia="Helvetica" w:hAnsi="Helvetica"/>
          <w:sz w:val="16"/>
          <w:szCs w:val="16"/>
          <w:color w:val="auto"/>
        </w:rPr>
        <w:t>-40~75°C</w:t>
      </w:r>
      <w:r>
        <w:rPr>
          <w:rFonts w:ascii="宋体" w:cs="宋体" w:eastAsia="宋体" w:hAnsi="宋体"/>
          <w:sz w:val="16"/>
          <w:szCs w:val="16"/>
          <w:color w:val="auto"/>
        </w:rPr>
        <w:t>的宽工作温度范围和</w:t>
      </w:r>
      <w:r>
        <w:rPr>
          <w:rFonts w:ascii="Helvetica" w:cs="Helvetica" w:eastAsia="Helvetica" w:hAnsi="Helvetica"/>
          <w:sz w:val="16"/>
          <w:szCs w:val="16"/>
          <w:color w:val="auto"/>
        </w:rPr>
        <w:t>NEMA TS2</w:t>
      </w:r>
      <w:r>
        <w:rPr>
          <w:rFonts w:ascii="宋体" w:cs="宋体" w:eastAsia="宋体" w:hAnsi="宋体"/>
          <w:sz w:val="16"/>
          <w:szCs w:val="16"/>
          <w:color w:val="auto"/>
        </w:rPr>
        <w:t>额定值，使其非常适合用于交通应用。最后，</w:t>
      </w:r>
      <w:r>
        <w:rPr>
          <w:rFonts w:ascii="Arial" w:cs="Arial" w:eastAsia="Arial" w:hAnsi="Arial"/>
          <w:sz w:val="16"/>
          <w:szCs w:val="16"/>
          <w:color w:val="auto"/>
        </w:rPr>
        <w:t>EKI-7708E-4FP/4FPI</w:t>
      </w:r>
      <w:r>
        <w:rPr>
          <w:rFonts w:ascii="宋体" w:cs="宋体" w:eastAsia="宋体" w:hAnsi="宋体"/>
          <w:sz w:val="16"/>
          <w:szCs w:val="16"/>
          <w:color w:val="auto"/>
        </w:rPr>
        <w:t>符合</w:t>
      </w:r>
      <w:r>
        <w:rPr>
          <w:rFonts w:ascii="Arial" w:cs="Arial" w:eastAsia="Arial" w:hAnsi="Arial"/>
          <w:sz w:val="16"/>
          <w:szCs w:val="16"/>
          <w:color w:val="auto"/>
        </w:rPr>
        <w:t>EN50121-4</w:t>
      </w:r>
      <w:r>
        <w:rPr>
          <w:rFonts w:ascii="宋体" w:cs="宋体" w:eastAsia="宋体" w:hAnsi="宋体"/>
          <w:sz w:val="16"/>
          <w:szCs w:val="16"/>
          <w:color w:val="auto"/>
        </w:rPr>
        <w:t>欧洲铁路标准对排放和铁路平台以及轨旁部署的要求。</w:t>
      </w:r>
    </w:p>
    <w:p>
      <w:pPr>
        <w:sectPr>
          <w:pgSz w:w="12240" w:h="15930" w:orient="portrait"/>
          <w:cols w:equalWidth="0" w:num="1">
            <w:col w:w="9960"/>
          </w:cols>
          <w:pgMar w:left="1140" w:top="534" w:right="1140" w:bottom="0" w:gutter="0" w:footer="0" w:header="0"/>
          <w:type w:val="continuous"/>
        </w:sectPr>
      </w:pPr>
    </w:p>
    <w:p>
      <w:pPr>
        <w:spacing w:after="0" w:line="136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00044C"/>
        </w:rPr>
        <w:t>规格</w:t>
      </w:r>
    </w:p>
    <w:p>
      <w:pPr>
        <w:spacing w:after="0" w:line="398" w:lineRule="exact"/>
        <w:rPr>
          <w:sz w:val="24"/>
          <w:szCs w:val="24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8"/>
          <w:szCs w:val="18"/>
          <w:b w:val="1"/>
          <w:bCs w:val="1"/>
          <w:color w:val="auto"/>
        </w:rPr>
        <w:t>接口</w:t>
      </w:r>
    </w:p>
    <w:p>
      <w:pPr>
        <w:spacing w:after="0" w:line="59" w:lineRule="exact"/>
        <w:rPr>
          <w:sz w:val="24"/>
          <w:szCs w:val="24"/>
          <w:color w:val="auto"/>
        </w:rPr>
      </w:pPr>
    </w:p>
    <w:p>
      <w:pPr>
        <w:spacing w:after="0" w:line="194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I/O</w:t>
      </w: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端口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4 x 10/100BASE-T/TX RJ-45</w:t>
      </w:r>
    </w:p>
    <w:p>
      <w:pPr>
        <w:ind w:left="2160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6"/>
          <w:szCs w:val="16"/>
          <w:color w:val="auto"/>
        </w:rPr>
        <w:t>4 x SFP (mini-GBIC) port</w: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spacing w:after="0" w:line="192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控制端口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RS-232 (RJ45)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spacing w:after="0" w:line="192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电源连接器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6-pin screw Terminal Block (including relay)</w:t>
      </w:r>
    </w:p>
    <w:p>
      <w:pPr>
        <w:spacing w:after="0" w:line="155" w:lineRule="exact"/>
        <w:rPr>
          <w:sz w:val="24"/>
          <w:szCs w:val="24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8"/>
          <w:szCs w:val="18"/>
          <w:b w:val="1"/>
          <w:bCs w:val="1"/>
          <w:color w:val="auto"/>
        </w:rPr>
        <w:t>物理特性</w:t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spacing w:after="0" w:line="192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外壳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Metal Shell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spacing w:after="0" w:line="192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防护等级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1"/>
          <w:szCs w:val="11"/>
          <w:color w:val="auto"/>
        </w:rPr>
        <w:t>IP 30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spacing w:after="0" w:line="192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安装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DIN-Rail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spacing w:after="0" w:line="194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尺寸</w:t>
      </w: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(W x H x D)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74 x 152 x 105 mm (2.91" x 5.98" x 4.13")</w:t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8"/>
          <w:szCs w:val="18"/>
          <w:b w:val="1"/>
          <w:bCs w:val="1"/>
          <w:color w:val="auto"/>
        </w:rPr>
        <w:t xml:space="preserve">LED </w:t>
      </w:r>
      <w:r>
        <w:rPr>
          <w:rFonts w:ascii="宋体" w:cs="宋体" w:eastAsia="宋体" w:hAnsi="宋体"/>
          <w:sz w:val="18"/>
          <w:szCs w:val="18"/>
          <w:b w:val="1"/>
          <w:bCs w:val="1"/>
          <w:color w:val="auto"/>
        </w:rPr>
        <w:t>显示屏</w:t>
      </w:r>
    </w:p>
    <w:p>
      <w:pPr>
        <w:spacing w:after="0" w:line="36" w:lineRule="exact"/>
        <w:rPr>
          <w:sz w:val="24"/>
          <w:szCs w:val="24"/>
          <w:color w:val="auto"/>
        </w:rPr>
      </w:pPr>
    </w:p>
    <w:p>
      <w:pPr>
        <w:spacing w:after="0" w:line="210" w:lineRule="exact"/>
        <w:tabs>
          <w:tab w:leader="none" w:pos="180" w:val="left"/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>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LED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系统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PWR1, PWR2, SYS, Alarm and R.M.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spacing w:after="0" w:line="194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LED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接口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Link / Speed / Activity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8"/>
          <w:szCs w:val="18"/>
          <w:b w:val="1"/>
          <w:bCs w:val="1"/>
          <w:color w:val="auto"/>
        </w:rPr>
        <w:t>环境</w:t>
      </w:r>
    </w:p>
    <w:p>
      <w:pPr>
        <w:spacing w:after="0" w:line="6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2"/>
        </w:trPr>
        <w:tc>
          <w:tcPr>
            <w:tcW w:w="1620" w:type="dxa"/>
            <w:vAlign w:val="bottom"/>
          </w:tcPr>
          <w:p>
            <w:pPr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工作温度</w:t>
            </w:r>
          </w:p>
        </w:tc>
        <w:tc>
          <w:tcPr>
            <w:tcW w:w="74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7"/>
              </w:rPr>
              <w:t>-40</w:t>
            </w: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82"/>
              </w:rPr>
              <w:t>~ 75°C (-40</w:t>
            </w:r>
          </w:p>
        </w:tc>
        <w:tc>
          <w:tcPr>
            <w:tcW w:w="13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7"/>
              </w:rPr>
              <w:t>~ 167°F) (7708E-4FPI)</w:t>
            </w:r>
          </w:p>
        </w:tc>
      </w:tr>
      <w:tr>
        <w:trPr>
          <w:trHeight w:val="183"/>
        </w:trPr>
        <w:tc>
          <w:tcPr>
            <w:tcW w:w="1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7"/>
              </w:rPr>
              <w:t>-10</w:t>
            </w: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82"/>
              </w:rPr>
              <w:t>~ 60°C (-40</w:t>
            </w:r>
          </w:p>
        </w:tc>
        <w:tc>
          <w:tcPr>
            <w:tcW w:w="13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9"/>
              </w:rPr>
              <w:t>~ 140°F) (7708E-4FP)</w:t>
            </w:r>
          </w:p>
        </w:tc>
      </w:tr>
      <w:tr>
        <w:trPr>
          <w:trHeight w:val="226"/>
        </w:trPr>
        <w:tc>
          <w:tcPr>
            <w:tcW w:w="1620" w:type="dxa"/>
            <w:vAlign w:val="bottom"/>
          </w:tcPr>
          <w:p>
            <w:pPr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储存温度</w:t>
            </w:r>
          </w:p>
        </w:tc>
        <w:tc>
          <w:tcPr>
            <w:tcW w:w="74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7"/>
              </w:rPr>
              <w:t>-40</w:t>
            </w:r>
          </w:p>
        </w:tc>
        <w:tc>
          <w:tcPr>
            <w:tcW w:w="7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~ 85°C</w:t>
            </w: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18"/>
        </w:trPr>
        <w:tc>
          <w:tcPr>
            <w:tcW w:w="1620" w:type="dxa"/>
            <w:vAlign w:val="bottom"/>
          </w:tcPr>
          <w:p>
            <w:pPr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环境相对湿度</w:t>
            </w:r>
          </w:p>
        </w:tc>
        <w:tc>
          <w:tcPr>
            <w:tcW w:w="2760" w:type="dxa"/>
            <w:vAlign w:val="bottom"/>
            <w:gridSpan w:val="3"/>
          </w:tcPr>
          <w:p>
            <w:pPr>
              <w:ind w:left="50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10 ~ 95% (</w:t>
            </w:r>
            <w:r>
              <w:rPr>
                <w:rFonts w:ascii="宋体" w:cs="宋体" w:eastAsia="宋体" w:hAnsi="宋体"/>
                <w:sz w:val="16"/>
                <w:szCs w:val="16"/>
                <w:color w:val="auto"/>
              </w:rPr>
              <w:t>非凝结</w:t>
            </w: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)</w:t>
            </w:r>
          </w:p>
        </w:tc>
      </w:tr>
      <w:tr>
        <w:trPr>
          <w:trHeight w:val="218"/>
        </w:trPr>
        <w:tc>
          <w:tcPr>
            <w:tcW w:w="1620" w:type="dxa"/>
            <w:vAlign w:val="bottom"/>
          </w:tcPr>
          <w:p>
            <w:pPr>
              <w:ind w:left="80"/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</w:t>
            </w: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储存湿度</w:t>
            </w:r>
          </w:p>
        </w:tc>
        <w:tc>
          <w:tcPr>
            <w:tcW w:w="2760" w:type="dxa"/>
            <w:vAlign w:val="bottom"/>
            <w:gridSpan w:val="3"/>
          </w:tcPr>
          <w:p>
            <w:pPr>
              <w:ind w:left="54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10 ~ 95% (</w:t>
            </w:r>
            <w:r>
              <w:rPr>
                <w:rFonts w:ascii="宋体" w:cs="宋体" w:eastAsia="宋体" w:hAnsi="宋体"/>
                <w:sz w:val="16"/>
                <w:szCs w:val="16"/>
                <w:color w:val="auto"/>
              </w:rPr>
              <w:t>非凝结</w:t>
            </w: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)</w:t>
            </w:r>
          </w:p>
        </w:tc>
      </w:tr>
    </w:tbl>
    <w:p>
      <w:pPr>
        <w:spacing w:after="0" w:line="149" w:lineRule="exact"/>
        <w:rPr>
          <w:sz w:val="24"/>
          <w:szCs w:val="24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8"/>
          <w:szCs w:val="18"/>
          <w:b w:val="1"/>
          <w:bCs w:val="1"/>
          <w:color w:val="auto"/>
        </w:rPr>
        <w:t>电源</w:t>
      </w:r>
    </w:p>
    <w:p>
      <w:pPr>
        <w:spacing w:after="0" w:line="54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0"/>
        </w:trPr>
        <w:tc>
          <w:tcPr>
            <w:tcW w:w="1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></w:t>
            </w:r>
          </w:p>
        </w:tc>
        <w:tc>
          <w:tcPr>
            <w:tcW w:w="1360" w:type="dxa"/>
            <w:vAlign w:val="bottom"/>
          </w:tcPr>
          <w:p>
            <w:pPr>
              <w:ind w:left="4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功耗</w:t>
            </w:r>
          </w:p>
        </w:tc>
        <w:tc>
          <w:tcPr>
            <w:tcW w:w="2900" w:type="dxa"/>
            <w:vAlign w:val="bottom"/>
            <w:gridSpan w:val="2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12.1W @ 48V</w:t>
            </w:r>
            <w:r>
              <w:rPr>
                <w:rFonts w:ascii="Helvetica" w:cs="Helvetica" w:eastAsia="Helvetica" w:hAnsi="Helvetica"/>
                <w:sz w:val="9"/>
                <w:szCs w:val="9"/>
                <w:color w:val="auto"/>
              </w:rPr>
              <w:t>DC</w:t>
            </w: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 xml:space="preserve"> (System)</w:t>
            </w:r>
          </w:p>
        </w:tc>
      </w:tr>
      <w:tr>
        <w:trPr>
          <w:trHeight w:val="218"/>
        </w:trPr>
        <w:tc>
          <w:tcPr>
            <w:tcW w:w="1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></w:t>
            </w:r>
          </w:p>
        </w:tc>
        <w:tc>
          <w:tcPr>
            <w:tcW w:w="1360" w:type="dxa"/>
            <w:vAlign w:val="bottom"/>
          </w:tcPr>
          <w:p>
            <w:pPr>
              <w:ind w:left="4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电源输入</w:t>
            </w:r>
          </w:p>
        </w:tc>
        <w:tc>
          <w:tcPr>
            <w:tcW w:w="840" w:type="dxa"/>
            <w:vAlign w:val="bottom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8"/>
              </w:rPr>
              <w:t>48</w:t>
            </w:r>
          </w:p>
        </w:tc>
        <w:tc>
          <w:tcPr>
            <w:tcW w:w="20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V</w:t>
            </w:r>
            <w:r>
              <w:rPr>
                <w:rFonts w:ascii="Helvetica" w:cs="Helvetica" w:eastAsia="Helvetica" w:hAnsi="Helvetica"/>
                <w:sz w:val="9"/>
                <w:szCs w:val="9"/>
                <w:color w:val="auto"/>
              </w:rPr>
              <w:t>DC</w:t>
            </w: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 xml:space="preserve"> (46 to 57 V</w:t>
            </w:r>
            <w:r>
              <w:rPr>
                <w:rFonts w:ascii="Helvetica" w:cs="Helvetica" w:eastAsia="Helvetica" w:hAnsi="Helvetica"/>
                <w:sz w:val="9"/>
                <w:szCs w:val="9"/>
                <w:color w:val="auto"/>
              </w:rPr>
              <w:t>DC</w:t>
            </w: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),</w:t>
            </w:r>
          </w:p>
        </w:tc>
      </w:tr>
      <w:tr>
        <w:trPr>
          <w:trHeight w:val="188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ind w:lef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8"/>
              </w:rPr>
              <w:t>53</w:t>
            </w:r>
          </w:p>
        </w:tc>
        <w:tc>
          <w:tcPr>
            <w:tcW w:w="20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7"/>
              </w:rPr>
              <w:t>-57 V</w:t>
            </w:r>
            <w:r>
              <w:rPr>
                <w:rFonts w:ascii="Helvetica" w:cs="Helvetica" w:eastAsia="Helvetica" w:hAnsi="Helvetica"/>
                <w:sz w:val="9"/>
                <w:szCs w:val="9"/>
                <w:color w:val="auto"/>
                <w:w w:val="77"/>
              </w:rPr>
              <w:t>DC</w:t>
            </w: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7"/>
              </w:rPr>
              <w:t xml:space="preserve"> is recommended for 802.3at,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ind w:left="2160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6"/>
          <w:szCs w:val="16"/>
          <w:color w:val="auto"/>
        </w:rPr>
        <w:t>redundant dual power input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 w:line="192" w:lineRule="exact"/>
        <w:tabs>
          <w:tab w:leader="none" w:pos="29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电力预算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120W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spacing w:after="0" w:line="192" w:lineRule="exact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宋体" w:cs="宋体" w:eastAsia="宋体" w:hAnsi="宋体"/>
          <w:sz w:val="16"/>
          <w:szCs w:val="16"/>
          <w:b w:val="1"/>
          <w:bCs w:val="1"/>
          <w:color w:val="auto"/>
        </w:rPr>
        <w:t>故障输出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1 Relay Output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-13335</wp:posOffset>
            </wp:positionH>
            <wp:positionV relativeFrom="paragraph">
              <wp:posOffset>273050</wp:posOffset>
            </wp:positionV>
            <wp:extent cx="824230" cy="24066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24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8"/>
          <w:szCs w:val="18"/>
          <w:b w:val="1"/>
          <w:bCs w:val="1"/>
          <w:color w:val="auto"/>
        </w:rPr>
        <w:t>认证</w:t>
      </w:r>
    </w:p>
    <w:p>
      <w:pPr>
        <w:spacing w:after="0" w:line="56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4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EMI</w:t>
            </w: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CE, FCC Class A</w:t>
            </w:r>
          </w:p>
        </w:tc>
      </w:tr>
      <w:tr>
        <w:trPr>
          <w:trHeight w:val="218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EMC</w:t>
            </w: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 61000-4-2</w:t>
            </w:r>
          </w:p>
        </w:tc>
      </w:tr>
      <w:tr>
        <w:trPr>
          <w:trHeight w:val="186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 61000-4-3</w:t>
            </w:r>
          </w:p>
        </w:tc>
      </w:tr>
      <w:tr>
        <w:trPr>
          <w:trHeight w:val="19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 61000-4-4</w:t>
            </w:r>
          </w:p>
        </w:tc>
      </w:tr>
      <w:tr>
        <w:trPr>
          <w:trHeight w:val="19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 61000-4-5</w:t>
            </w:r>
          </w:p>
        </w:tc>
      </w:tr>
      <w:tr>
        <w:trPr>
          <w:trHeight w:val="19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 61000-4-6</w:t>
            </w:r>
          </w:p>
        </w:tc>
      </w:tr>
      <w:tr>
        <w:trPr>
          <w:trHeight w:val="19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 61000-4-8</w:t>
            </w:r>
          </w:p>
        </w:tc>
      </w:tr>
      <w:tr>
        <w:trPr>
          <w:trHeight w:val="190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EN50121-4</w:t>
            </w:r>
          </w:p>
        </w:tc>
      </w:tr>
      <w:tr>
        <w:trPr>
          <w:trHeight w:val="222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Shock</w:t>
            </w: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IEC 60068-2-27</w:t>
            </w:r>
          </w:p>
        </w:tc>
      </w:tr>
      <w:tr>
        <w:trPr>
          <w:trHeight w:val="218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Freefall</w:t>
            </w: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IEC 60068-2-32</w:t>
            </w:r>
          </w:p>
        </w:tc>
      </w:tr>
      <w:tr>
        <w:trPr>
          <w:trHeight w:val="218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Vibration</w:t>
            </w: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IEC 60068-2-6</w:t>
            </w:r>
          </w:p>
        </w:tc>
      </w:tr>
      <w:tr>
        <w:trPr>
          <w:trHeight w:val="218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Traffic control</w:t>
            </w: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NEMA TS2</w:t>
            </w:r>
          </w:p>
        </w:tc>
      </w:tr>
      <w:tr>
        <w:trPr>
          <w:trHeight w:val="224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*= Compliant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Patent</w:t>
            </w:r>
          </w:p>
        </w:tc>
        <w:tc>
          <w:tcPr>
            <w:tcW w:w="25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7"/>
              </w:rPr>
              <w:t>http://www.advantech.com/legal/patent</w:t>
            </w:r>
          </w:p>
        </w:tc>
      </w:tr>
    </w:tbl>
    <w:p>
      <w:pPr>
        <w:spacing w:after="0" w:line="153" w:lineRule="exact"/>
        <w:rPr>
          <w:sz w:val="24"/>
          <w:szCs w:val="24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8"/>
          <w:szCs w:val="18"/>
          <w:b w:val="1"/>
          <w:bCs w:val="1"/>
          <w:color w:val="auto"/>
        </w:rPr>
        <w:t>二级功能</w:t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L2 MAC Address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3"/>
          <w:szCs w:val="13"/>
          <w:color w:val="auto"/>
        </w:rPr>
        <w:t>8K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Jumbo Frame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9216 Bytes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VLAN Group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256 (VLAN ID 1 ~ 4094)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VLAN Arrange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Port based VLAN, Q-in-Q (VLAN Stacking), GVRP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Port Mirroring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Per port, Multi-source port,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IP Multicast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IGMP Snooping v1/v2/v3, MLD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6"/>
          <w:szCs w:val="16"/>
          <w:color w:val="auto"/>
        </w:rPr>
        <w:t>Snooping, IGMP Immediate leave</w: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Storm Control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2"/>
          <w:szCs w:val="12"/>
          <w:color w:val="auto"/>
        </w:rPr>
        <w:t>Broadcast, Multicast, Unknown unicast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7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16"/>
          <w:szCs w:val="16"/>
          <w:b w:val="1"/>
          <w:bCs w:val="1"/>
          <w:color w:val="auto"/>
        </w:rPr>
        <w:t xml:space="preserve">  </w:t>
      </w:r>
      <w:r>
        <w:rPr>
          <w:rFonts w:ascii="Helvetica" w:cs="Helvetica" w:eastAsia="Helvetica" w:hAnsi="Helvetica"/>
          <w:sz w:val="16"/>
          <w:szCs w:val="16"/>
          <w:b w:val="1"/>
          <w:bCs w:val="1"/>
          <w:color w:val="auto"/>
        </w:rPr>
        <w:t>Redundancy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1"/>
          <w:szCs w:val="11"/>
          <w:color w:val="auto"/>
        </w:rPr>
        <w:t>IEEE 802.1D-STP, IEEE 802.1s-MSTP, IEEE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1760" w:right="380"/>
        <w:spacing w:after="0" w:line="315" w:lineRule="auto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4"/>
          <w:szCs w:val="14"/>
          <w:color w:val="auto"/>
        </w:rPr>
        <w:t>802.1w-RSTP, X-Ring Pro, with ultra high-speed recovery time less than 20ms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-2434590</wp:posOffset>
                </wp:positionH>
                <wp:positionV relativeFrom="paragraph">
                  <wp:posOffset>576580</wp:posOffset>
                </wp:positionV>
                <wp:extent cx="5511800" cy="16446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164465"/>
                        </a:xfrm>
                        <a:prstGeom prst="rect">
                          <a:avLst/>
                        </a:prstGeom>
                        <a:solidFill>
                          <a:srgbClr val="00044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-191.6999pt;margin-top:45.4pt;width:434pt;height:1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44C" stroked="f"/>
            </w:pict>
          </mc:Fallback>
        </mc:AlternateContent>
      </w:r>
    </w:p>
    <w:p>
      <w:pPr>
        <w:spacing w:after="0" w:line="618" w:lineRule="exact"/>
        <w:rPr>
          <w:sz w:val="24"/>
          <w:szCs w:val="24"/>
          <w:color w:val="auto"/>
        </w:rPr>
      </w:pPr>
    </w:p>
    <w:p>
      <w:pPr>
        <w:sectPr>
          <w:pgSz w:w="12240" w:h="15930" w:orient="portrait"/>
          <w:cols w:equalWidth="0" w:num="2">
            <w:col w:w="4620" w:space="500"/>
            <w:col w:w="4840"/>
          </w:cols>
          <w:pgMar w:left="1140" w:top="534" w:right="1140" w:bottom="0" w:gutter="0" w:footer="0" w:header="0"/>
          <w:type w:val="continuous"/>
        </w:sectPr>
      </w:pP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ind w:left="1660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4"/>
          <w:szCs w:val="14"/>
          <w:b w:val="1"/>
          <w:bCs w:val="1"/>
          <w:color w:val="FFFFFF"/>
        </w:rPr>
        <w:t>Industrial Ethernet Solutions</w:t>
      </w:r>
    </w:p>
    <w:p>
      <w:pPr>
        <w:sectPr>
          <w:pgSz w:w="12240" w:h="15930" w:orient="portrait"/>
          <w:cols w:equalWidth="0" w:num="1">
            <w:col w:w="9960"/>
          </w:cols>
          <w:pgMar w:left="1140" w:top="534" w:right="1140" w:bottom="0" w:gutter="0" w:footer="0" w:header="0"/>
          <w:type w:val="continuous"/>
        </w:sectPr>
      </w:pPr>
    </w:p>
    <w:p>
      <w:pPr>
        <w:spacing w:after="0" w:line="8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620" w:val="left"/>
        </w:tabs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4"/>
          <w:szCs w:val="14"/>
          <w:color w:val="auto"/>
        </w:rPr>
        <w:t>All product specifications are subject to change without notice.</w:t>
      </w:r>
      <w:r>
        <w:rPr>
          <w:sz w:val="20"/>
          <w:szCs w:val="20"/>
          <w:color w:val="auto"/>
        </w:rPr>
        <w:tab/>
      </w:r>
      <w:r>
        <w:rPr>
          <w:rFonts w:ascii="Helvetica" w:cs="Helvetica" w:eastAsia="Helvetica" w:hAnsi="Helvetica"/>
          <w:sz w:val="11"/>
          <w:szCs w:val="11"/>
          <w:color w:val="auto"/>
        </w:rPr>
        <w:t>Last updated: 27-Jun-2018</w:t>
      </w:r>
    </w:p>
    <w:p>
      <w:pPr>
        <w:sectPr>
          <w:pgSz w:w="12240" w:h="15930" w:orient="portrait"/>
          <w:cols w:equalWidth="0" w:num="1">
            <w:col w:w="9960"/>
          </w:cols>
          <w:pgMar w:left="1140" w:top="534" w:right="1140" w:bottom="0" w:gutter="0" w:footer="0" w:header="0"/>
          <w:type w:val="continuous"/>
        </w:sectPr>
      </w:pPr>
    </w:p>
    <w:bookmarkStart w:id="1" w:name="page2"/>
    <w:bookmarkEnd w:id="1"/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7660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24"/>
          <w:szCs w:val="24"/>
          <w:b w:val="1"/>
          <w:bCs w:val="1"/>
          <w:color w:val="333333"/>
        </w:rPr>
        <w:t>EKI-7708E-4FP/4FPI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633222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44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10.25pt" to="498.3pt,10.25pt" o:allowincell="f" strokecolor="#00044C" strokeweight="3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6322060</wp:posOffset>
                </wp:positionH>
                <wp:positionV relativeFrom="paragraph">
                  <wp:posOffset>238125</wp:posOffset>
                </wp:positionV>
                <wp:extent cx="0" cy="414020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402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7.8pt,18.75pt" to="497.8pt,344.75pt" o:allowincell="f" strokecolor="#000000" strokeweight="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244475</wp:posOffset>
                </wp:positionV>
                <wp:extent cx="633222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19.25pt" to="498.3pt,19.25pt" o:allowincell="f" strokecolor="#000000" strokeweight="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238125</wp:posOffset>
                </wp:positionV>
                <wp:extent cx="0" cy="414020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402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18.75pt" to="0.15pt,344.75pt" o:allowincell="f" strokecolor="#000000" strokeweight="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4371975</wp:posOffset>
                </wp:positionV>
                <wp:extent cx="633222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344.25pt" to="498.3pt,344.25pt" o:allowincell="f" strokecolor="#000000" strokeweight="1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960"/>
          </w:cols>
          <w:pgMar w:left="1140" w:top="1440" w:right="11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24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00044C"/>
        </w:rPr>
        <w:t>结构图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74 [2.913]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561340</wp:posOffset>
            </wp:positionH>
            <wp:positionV relativeFrom="paragraph">
              <wp:posOffset>-15240</wp:posOffset>
            </wp:positionV>
            <wp:extent cx="722630" cy="12395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jc w:val="right"/>
        <w:ind w:right="220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6"/>
          <w:szCs w:val="16"/>
          <w:color w:val="auto"/>
        </w:rPr>
        <w:t>Unit: mm [inch]</w:t>
      </w:r>
    </w:p>
    <w:p>
      <w:pPr>
        <w:spacing w:after="0" w:line="88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9"/>
        </w:trPr>
        <w:tc>
          <w:tcPr>
            <w:tcW w:w="300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1"/>
              </w:rPr>
              <w:t>4556.[2.22]</w:t>
            </w:r>
          </w:p>
        </w:tc>
        <w:tc>
          <w:tcPr>
            <w:tcW w:w="360" w:type="dxa"/>
            <w:vAlign w:val="bottom"/>
            <w:textDirection w:val="btLr"/>
          </w:tcPr>
          <w:p>
            <w:pPr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3"/>
              </w:rPr>
              <w:t>[0.591]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80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"/>
                <w:szCs w:val="4"/>
                <w:color w:val="auto"/>
                <w:w w:val="80"/>
              </w:rPr>
              <w:t>1056.[2.209]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  <w:textDirection w:val="btLr"/>
          </w:tcPr>
          <w:p>
            <w:pPr>
              <w:ind w:right="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"/>
                <w:szCs w:val="1"/>
                <w:color w:val="auto"/>
              </w:rPr>
              <w:t>781][1.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extDirection w:val="btLr"/>
          </w:tcPr>
          <w:p>
            <w:pPr>
              <w:ind w:right="1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2545.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2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extDirection w:val="btLr"/>
          </w:tcPr>
          <w:p>
            <w:pPr>
              <w:ind w:right="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89"/>
              </w:rPr>
              <w:t>15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6"/>
              </w:rPr>
              <w:t>37.72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7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6"/>
              </w:rPr>
              <w:t>35.56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[1.485]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71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88"/>
              </w:rPr>
              <w:t>[1.400]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83.50 [3.287]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0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restart"/>
          </w:tcPr>
          <w:p>
            <w:pPr>
              <w:jc w:val="right"/>
              <w:ind w:right="6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114 [4.488]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jc w:val="right"/>
              <w:ind w:right="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74 [2.913]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37 [1.457]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8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restart"/>
          </w:tcPr>
          <w:p>
            <w:pPr>
              <w:jc w:val="right"/>
              <w:ind w:right="6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105 [4.134]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35</w:t>
            </w:r>
          </w:p>
        </w:tc>
        <w:tc>
          <w:tcPr>
            <w:tcW w:w="4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6"/>
              </w:rPr>
              <w:t>19.50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35.18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757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6"/>
              </w:rPr>
              <w:t>40.64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vMerge w:val="restart"/>
          </w:tcPr>
          <w:p>
            <w:pPr>
              <w:jc w:val="right"/>
              <w:ind w:right="5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105 [4.134]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300" w:type="dxa"/>
            <w:vAlign w:val="bottom"/>
            <w:vMerge w:val="restart"/>
            <w:textDirection w:val="btLr"/>
          </w:tcPr>
          <w:p>
            <w:pPr>
              <w:ind w:right="8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9.90[0.390]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[1.385]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71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88"/>
              </w:rPr>
              <w:t>[1.600]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jc w:val="right"/>
              <w:ind w:right="1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[1.378]</w:t>
            </w:r>
          </w:p>
        </w:tc>
        <w:tc>
          <w:tcPr>
            <w:tcW w:w="4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88"/>
              </w:rPr>
              <w:t>[0.768]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3"/>
        </w:trPr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1"/>
        </w:trPr>
        <w:tc>
          <w:tcPr>
            <w:tcW w:w="300" w:type="dxa"/>
            <w:vAlign w:val="bottom"/>
            <w:textDirection w:val="btLr"/>
          </w:tcPr>
          <w:p>
            <w:pPr>
              <w:ind w:right="8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152 [5.984]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3"/>
              </w:rPr>
              <w:t>[2.165] 47 [1.850]</w:t>
            </w:r>
          </w:p>
        </w:tc>
        <w:tc>
          <w:tcPr>
            <w:tcW w:w="440" w:type="dxa"/>
            <w:vAlign w:val="bottom"/>
            <w:textDirection w:val="btLr"/>
          </w:tcPr>
          <w:p>
            <w:pPr>
              <w:ind w:right="1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152 [5.984]</w:t>
            </w: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130 [5.118]</w:t>
            </w:r>
          </w:p>
        </w:tc>
        <w:tc>
          <w:tcPr>
            <w:tcW w:w="180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110 [4.331]</w:t>
            </w:r>
          </w:p>
        </w:tc>
        <w:tc>
          <w:tcPr>
            <w:tcW w:w="620" w:type="dxa"/>
            <w:vAlign w:val="bottom"/>
            <w:textDirection w:val="btLr"/>
          </w:tcPr>
          <w:p>
            <w:pPr>
              <w:ind w:right="3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90161. [6.374]</w:t>
            </w:r>
          </w:p>
        </w:tc>
        <w:tc>
          <w:tcPr>
            <w:tcW w:w="1720" w:type="dxa"/>
            <w:vAlign w:val="bottom"/>
            <w:textDirection w:val="btLr"/>
          </w:tcPr>
          <w:p>
            <w:pPr>
              <w:spacing w:after="0" w:line="194" w:lineRule="auto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1"/>
              </w:rPr>
              <w:t>152 [5.984]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80" w:type="dxa"/>
            <w:vAlign w:val="bottom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89"/>
              </w:rPr>
              <w:t>55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  <w:vMerge w:val="restart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73"/>
              </w:rPr>
              <w:t>11[0.433]</w:t>
            </w:r>
          </w:p>
        </w:tc>
        <w:tc>
          <w:tcPr>
            <w:tcW w:w="180" w:type="dxa"/>
            <w:vAlign w:val="bottom"/>
            <w:vMerge w:val="restart"/>
            <w:textDirection w:val="btLr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73"/>
              </w:rPr>
              <w:t>21[0.827]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  <w:vMerge w:val="restart"/>
          </w:tcPr>
          <w:p>
            <w:pPr>
              <w:jc w:val="right"/>
              <w:ind w:right="5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6-M3xP0.5</w:t>
            </w:r>
          </w:p>
        </w:tc>
        <w:tc>
          <w:tcPr>
            <w:tcW w:w="42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4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464185</wp:posOffset>
            </wp:positionH>
            <wp:positionV relativeFrom="paragraph">
              <wp:posOffset>24765</wp:posOffset>
            </wp:positionV>
            <wp:extent cx="797560" cy="5219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426085</wp:posOffset>
            </wp:positionH>
            <wp:positionV relativeFrom="paragraph">
              <wp:posOffset>-1729105</wp:posOffset>
            </wp:positionV>
            <wp:extent cx="3992880" cy="1908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-2858770</wp:posOffset>
            </wp:positionV>
            <wp:extent cx="1229995" cy="82423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2240" w:h="15840" w:orient="portrait"/>
          <w:cols w:equalWidth="0" w:num="2">
            <w:col w:w="1580" w:space="420"/>
            <w:col w:w="7960"/>
          </w:cols>
          <w:pgMar w:left="1140" w:top="1440" w:right="114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8"/>
          <w:szCs w:val="18"/>
          <w:b w:val="1"/>
          <w:bCs w:val="1"/>
          <w:color w:val="auto"/>
        </w:rPr>
        <w:t>Panel Cut-out Dimensions: 105 x 152 x 74 (4.134" x 5.98" x 2.913")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9"/>
        </w:trPr>
        <w:tc>
          <w:tcPr>
            <w:tcW w:w="15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8"/>
                <w:szCs w:val="18"/>
                <w:b w:val="1"/>
                <w:bCs w:val="1"/>
                <w:color w:val="auto"/>
              </w:rPr>
              <w:t>QoS</w:t>
            </w: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ind w:left="18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8"/>
                <w:szCs w:val="28"/>
                <w:b w:val="1"/>
                <w:bCs w:val="1"/>
                <w:color w:val="00044C"/>
              </w:rPr>
              <w:t>订购信息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1540" w:type="dxa"/>
            <w:vAlign w:val="bottom"/>
            <w:gridSpan w:val="2"/>
          </w:tcPr>
          <w:p>
            <w:pPr>
              <w:spacing w:after="0" w:line="191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Priority Queue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83"/>
              </w:rPr>
              <w:t>WRR (Weighted Round Robin), SP (Strict Scheduling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EKI-7708E-4FPI-AE</w:t>
            </w:r>
          </w:p>
        </w:tc>
        <w:tc>
          <w:tcPr>
            <w:tcW w:w="310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76"/>
              </w:rPr>
              <w:t>4FE + 4G SFP Port Managed PoE Ethernet Switch w/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2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Scheduling</w:t>
            </w:r>
          </w:p>
        </w:tc>
        <w:tc>
          <w:tcPr>
            <w:tcW w:w="3400" w:type="dxa"/>
            <w:vAlign w:val="bottom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Priority) Hybrid Priority</w:t>
            </w: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1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4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Wide Temp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54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Class of Service</w:t>
            </w:r>
          </w:p>
        </w:tc>
        <w:tc>
          <w:tcPr>
            <w:tcW w:w="3400" w:type="dxa"/>
            <w:vAlign w:val="bottom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84"/>
              </w:rPr>
              <w:t>IEEE 802.1p Based CoS, IP TOS, DSCP based CoS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3"/>
        </w:trPr>
        <w:tc>
          <w:tcPr>
            <w:tcW w:w="15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EKI-7708E-4FP-AE</w:t>
            </w:r>
          </w:p>
        </w:tc>
        <w:tc>
          <w:tcPr>
            <w:tcW w:w="310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80"/>
              </w:rPr>
              <w:t>4FE + 4G SFP Port Managed PoE Ethernet Switch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154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Rate Limiting</w:t>
            </w:r>
          </w:p>
        </w:tc>
        <w:tc>
          <w:tcPr>
            <w:tcW w:w="3400" w:type="dxa"/>
            <w:vAlign w:val="bottom"/>
            <w:vMerge w:val="restart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Ingress Rate limit, Egress Rate limit</w:t>
            </w: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15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15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Link Aggregation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90"/>
              </w:rPr>
              <w:t>IEEE 802.3ad Dynamic Port Trunking, Static Port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6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Trunking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1540" w:type="dxa"/>
            <w:vAlign w:val="bottom"/>
            <w:gridSpan w:val="2"/>
          </w:tcPr>
          <w:p>
            <w:pPr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8"/>
                <w:szCs w:val="18"/>
                <w:b w:val="1"/>
                <w:bCs w:val="1"/>
                <w:color w:val="auto"/>
              </w:rPr>
              <w:t>安全</w:t>
            </w: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></w:t>
            </w:r>
          </w:p>
        </w:tc>
        <w:tc>
          <w:tcPr>
            <w:tcW w:w="1420" w:type="dxa"/>
            <w:vAlign w:val="bottom"/>
          </w:tcPr>
          <w:p>
            <w:pPr>
              <w:ind w:left="4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接口安全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91"/>
              </w:rPr>
              <w:t>Static, Dynamic IP Source Guard, ARP Spoofing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3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90"/>
              </w:rPr>
              <w:t>Prevention, Access Control List, DHCP Snooping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></w:t>
            </w:r>
          </w:p>
        </w:tc>
        <w:tc>
          <w:tcPr>
            <w:tcW w:w="1420" w:type="dxa"/>
            <w:vAlign w:val="bottom"/>
          </w:tcPr>
          <w:p>
            <w:pPr>
              <w:ind w:left="4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6"/>
                <w:szCs w:val="16"/>
                <w:b w:val="1"/>
                <w:bCs w:val="1"/>
                <w:color w:val="auto"/>
              </w:rPr>
              <w:t>认证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802.1x (Port-Based, MD5/TLS/TTLS/PEAP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4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Encryption), TACACS+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1540" w:type="dxa"/>
            <w:vAlign w:val="bottom"/>
            <w:gridSpan w:val="2"/>
          </w:tcPr>
          <w:p>
            <w:pPr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18"/>
                <w:szCs w:val="18"/>
                <w:b w:val="1"/>
                <w:bCs w:val="1"/>
                <w:color w:val="auto"/>
              </w:rPr>
              <w:t>管理</w:t>
            </w: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15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DHCP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Client, Server, Option66/67/82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15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Access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  <w:w w:val="81"/>
              </w:rPr>
              <w:t>SNMP v1/v2c/v3, WEB, Telnet, RMON, Standard MIB,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6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Private MIB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15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Security access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SSH2.0, SSL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15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Software upgrade</w:t>
            </w:r>
          </w:p>
        </w:tc>
        <w:tc>
          <w:tcPr>
            <w:tcW w:w="340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TFTP, HTTP, Dual Image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15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16"/>
                <w:szCs w:val="16"/>
                <w:b w:val="1"/>
                <w:bCs w:val="1"/>
                <w:color w:val="auto"/>
              </w:rPr>
              <w:t xml:space="preserve">  </w:t>
            </w:r>
            <w:r>
              <w:rPr>
                <w:rFonts w:ascii="Helvetica" w:cs="Helvetica" w:eastAsia="Helvetica" w:hAnsi="Helvetica"/>
                <w:sz w:val="16"/>
                <w:szCs w:val="16"/>
                <w:b w:val="1"/>
                <w:bCs w:val="1"/>
                <w:color w:val="auto"/>
              </w:rPr>
              <w:t>NTP</w:t>
            </w:r>
          </w:p>
        </w:tc>
        <w:tc>
          <w:tcPr>
            <w:tcW w:w="34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Helvetica" w:cs="Helvetica" w:eastAsia="Helvetica" w:hAnsi="Helvetica"/>
                <w:sz w:val="16"/>
                <w:szCs w:val="16"/>
                <w:color w:val="auto"/>
              </w:rPr>
              <w:t>SNTP client</w:t>
            </w: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1178560</wp:posOffset>
                </wp:positionV>
                <wp:extent cx="6331585" cy="16446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585" cy="164465"/>
                        </a:xfrm>
                        <a:prstGeom prst="rect">
                          <a:avLst/>
                        </a:prstGeom>
                        <a:solidFill>
                          <a:srgbClr val="00044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-0.2499pt;margin-top:92.8pt;width:498.55pt;height:1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44C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1190625</wp:posOffset>
                </wp:positionV>
                <wp:extent cx="1560195" cy="13970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50.25pt;margin-top:93.75pt;width:122.85pt;height:1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960"/>
          </w:cols>
          <w:pgMar w:left="1140" w:top="1440" w:right="114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ind w:left="5780"/>
        <w:spacing w:after="0"/>
        <w:rPr>
          <w:sz w:val="20"/>
          <w:szCs w:val="20"/>
          <w:color w:val="auto"/>
        </w:rPr>
      </w:pPr>
      <w:r>
        <w:rPr>
          <w:rFonts w:ascii="Helvetica" w:cs="Helvetica" w:eastAsia="Helvetica" w:hAnsi="Helvetica"/>
          <w:sz w:val="15"/>
          <w:szCs w:val="15"/>
          <w:b w:val="1"/>
          <w:bCs w:val="1"/>
          <w:color w:val="FFFFFF"/>
        </w:rPr>
        <w:t xml:space="preserve">Online Download  </w:t>
      </w:r>
      <w:r>
        <w:rPr>
          <w:rFonts w:ascii="Helvetica" w:cs="Helvetica" w:eastAsia="Helvetica" w:hAnsi="Helvetica"/>
          <w:sz w:val="15"/>
          <w:szCs w:val="15"/>
          <w:color w:val="000000"/>
        </w:rPr>
        <w:t>www.advantech.com/products</w:t>
      </w:r>
    </w:p>
    <w:sectPr>
      <w:pgSz w:w="12240" w:h="15840" w:orient="portrait"/>
      <w:cols w:equalWidth="0" w:num="1">
        <w:col w:w="9960"/>
      </w:cols>
      <w:pgMar w:left="1140" w:top="1440" w:right="11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Helvetica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Arial Black">
    <w:panose1 w:val="020B0A04020102020204"/>
    <w:charset w:val="00"/>
    <w:family w:val="swiss"/>
    <w:pitch w:val="variable"/>
    <w:sig w:usb0="A00002AF" w:usb1="400078FB" w:usb2="00000000" w:usb3="00000000" w:csb0="6000009F" w:csb1="DFD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PMingLiU">
    <w:panose1 w:val="02020500000000000000"/>
    <w:charset w:val="00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2019-11-18T16:00:02Z</dcterms:created>
  <dcterms:modified xsi:type="dcterms:W3CDTF">2019-11-18T16:00:02Z</dcterms:modified>
</cp:coreProperties>
</file>