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 w:line="2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2"/>
          <w:szCs w:val="62"/>
          <w:b w:val="1"/>
          <w:bCs w:val="1"/>
          <w:color w:val="00044C"/>
        </w:rPr>
        <w:t>EKI-7428G-4CI EKI-7428G-4CPI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-70485</wp:posOffset>
            </wp:positionV>
            <wp:extent cx="6332220" cy="2675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67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right="580"/>
        <w:spacing w:after="0" w:line="320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24G+4G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组合端口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L2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网管交换机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24G+4G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组合端口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L2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网管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PoE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交换机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146685</wp:posOffset>
                </wp:positionV>
                <wp:extent cx="3075305" cy="230441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4415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8.8499pt;margin-top:11.55pt;width:242.15pt;height:181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00" w:space="500"/>
            <w:col w:w="4660"/>
          </w:cols>
          <w:pgMar w:left="1140" w:top="504" w:right="1140" w:bottom="0" w:gutter="0" w:footer="0" w:header="0"/>
        </w:sectPr>
      </w:pP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530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5280"/>
        <w:spacing w:after="0" w:line="170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4"/>
          <w:szCs w:val="14"/>
          <w:color w:val="auto"/>
        </w:rPr>
        <w:t>24 x IEEE 802.3 AF/AT PoE</w:t>
      </w:r>
      <w:r>
        <w:rPr>
          <w:rFonts w:ascii="宋体" w:cs="宋体" w:eastAsia="宋体" w:hAnsi="宋体"/>
          <w:sz w:val="14"/>
          <w:szCs w:val="14"/>
          <w:color w:val="auto"/>
        </w:rPr>
        <w:t>千兆端口</w:t>
      </w:r>
      <w:r>
        <w:rPr>
          <w:rFonts w:ascii="Helvetica" w:cs="Helvetica" w:eastAsia="Helvetica" w:hAnsi="Helvetica"/>
          <w:sz w:val="14"/>
          <w:szCs w:val="14"/>
          <w:color w:val="auto"/>
        </w:rPr>
        <w:t>+4 x</w:t>
      </w:r>
      <w:r>
        <w:rPr>
          <w:rFonts w:ascii="宋体" w:cs="宋体" w:eastAsia="宋体" w:hAnsi="宋体"/>
          <w:sz w:val="14"/>
          <w:szCs w:val="14"/>
          <w:color w:val="auto"/>
        </w:rPr>
        <w:t>千兆铜缆</w:t>
      </w:r>
      <w:r>
        <w:rPr>
          <w:rFonts w:ascii="Helvetica" w:cs="Helvetica" w:eastAsia="Helvetica" w:hAnsi="Helvetica"/>
          <w:sz w:val="14"/>
          <w:szCs w:val="14"/>
          <w:color w:val="auto"/>
        </w:rPr>
        <w:t>/SFP</w:t>
      </w:r>
      <w:r>
        <w:rPr>
          <w:rFonts w:ascii="宋体" w:cs="宋体" w:eastAsia="宋体" w:hAnsi="宋体"/>
          <w:sz w:val="14"/>
          <w:szCs w:val="14"/>
          <w:color w:val="auto"/>
        </w:rPr>
        <w:t>组合端口，每个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端口最多提供</w:t>
      </w:r>
      <w:r>
        <w:rPr>
          <w:rFonts w:ascii="Helvetica" w:cs="Helvetica" w:eastAsia="Helvetica" w:hAnsi="Helvetica"/>
          <w:sz w:val="16"/>
          <w:szCs w:val="16"/>
          <w:color w:val="auto"/>
        </w:rPr>
        <w:t>30</w:t>
      </w:r>
      <w:r>
        <w:rPr>
          <w:rFonts w:ascii="宋体" w:cs="宋体" w:eastAsia="宋体" w:hAnsi="宋体"/>
          <w:sz w:val="16"/>
          <w:szCs w:val="16"/>
          <w:color w:val="auto"/>
        </w:rPr>
        <w:t>瓦</w:t>
      </w:r>
    </w:p>
    <w:p>
      <w:pPr>
        <w:ind w:left="528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插座，方便灵活的光纤扩展</w:t>
      </w:r>
    </w:p>
    <w:p>
      <w:pPr>
        <w:ind w:left="5280"/>
        <w:spacing w:after="0" w:line="193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管理：</w:t>
      </w:r>
      <w:r>
        <w:rPr>
          <w:rFonts w:ascii="Helvetica" w:cs="Helvetica" w:eastAsia="Helvetica" w:hAnsi="Helvetica"/>
          <w:sz w:val="16"/>
          <w:szCs w:val="16"/>
          <w:color w:val="auto"/>
        </w:rPr>
        <w:t>SNMP v1/v2c/v3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web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telnet</w:t>
      </w:r>
      <w:r>
        <w:rPr>
          <w:rFonts w:ascii="宋体" w:cs="宋体" w:eastAsia="宋体" w:hAnsi="宋体"/>
          <w:sz w:val="16"/>
          <w:szCs w:val="16"/>
          <w:color w:val="auto"/>
        </w:rPr>
        <w:t>、标准</w:t>
      </w:r>
      <w:r>
        <w:rPr>
          <w:rFonts w:ascii="Helvetica" w:cs="Helvetica" w:eastAsia="Helvetica" w:hAnsi="Helvetica"/>
          <w:sz w:val="16"/>
          <w:szCs w:val="16"/>
          <w:color w:val="auto"/>
        </w:rPr>
        <w:t>MIB</w:t>
      </w:r>
    </w:p>
    <w:p>
      <w:pPr>
        <w:ind w:left="528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IXM</w:t>
      </w:r>
      <w:r>
        <w:rPr>
          <w:rFonts w:ascii="宋体" w:cs="宋体" w:eastAsia="宋体" w:hAnsi="宋体"/>
          <w:sz w:val="16"/>
          <w:szCs w:val="16"/>
          <w:color w:val="auto"/>
        </w:rPr>
        <w:t>功能支持快速部署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5280"/>
        <w:spacing w:after="0" w:line="170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4"/>
          <w:szCs w:val="14"/>
          <w:color w:val="auto"/>
        </w:rPr>
        <w:t>安全：</w:t>
      </w:r>
      <w:r>
        <w:rPr>
          <w:rFonts w:ascii="Helvetica" w:cs="Helvetica" w:eastAsia="Helvetica" w:hAnsi="Helvetica"/>
          <w:sz w:val="14"/>
          <w:szCs w:val="14"/>
          <w:color w:val="auto"/>
        </w:rPr>
        <w:t>802.1X</w:t>
      </w:r>
      <w:r>
        <w:rPr>
          <w:rFonts w:ascii="宋体" w:cs="宋体" w:eastAsia="宋体" w:hAnsi="宋体"/>
          <w:sz w:val="14"/>
          <w:szCs w:val="14"/>
          <w:color w:val="auto"/>
        </w:rPr>
        <w:t>（基于端口，</w:t>
      </w:r>
      <w:r>
        <w:rPr>
          <w:rFonts w:ascii="Helvetica" w:cs="Helvetica" w:eastAsia="Helvetica" w:hAnsi="Helvetica"/>
          <w:sz w:val="14"/>
          <w:szCs w:val="14"/>
          <w:color w:val="auto"/>
        </w:rPr>
        <w:t>MD5/TLS/TTLS/PEAP</w:t>
      </w:r>
      <w:r>
        <w:rPr>
          <w:rFonts w:ascii="宋体" w:cs="宋体" w:eastAsia="宋体" w:hAnsi="宋体"/>
          <w:sz w:val="14"/>
          <w:szCs w:val="14"/>
          <w:color w:val="auto"/>
        </w:rPr>
        <w:t>加密）、</w:t>
      </w:r>
      <w:r>
        <w:rPr>
          <w:rFonts w:ascii="Helvetica" w:cs="Helvetica" w:eastAsia="Helvetica" w:hAnsi="Helvetica"/>
          <w:sz w:val="14"/>
          <w:szCs w:val="14"/>
          <w:color w:val="auto"/>
        </w:rPr>
        <w:t>HTTPS</w:t>
      </w:r>
      <w:r>
        <w:rPr>
          <w:rFonts w:ascii="宋体" w:cs="宋体" w:eastAsia="宋体" w:hAnsi="宋体"/>
          <w:sz w:val="14"/>
          <w:szCs w:val="14"/>
          <w:color w:val="auto"/>
        </w:rPr>
        <w:t>、</w:t>
      </w:r>
      <w:r>
        <w:rPr>
          <w:rFonts w:ascii="Helvetica" w:cs="Helvetica" w:eastAsia="Helvetica" w:hAnsi="Helvetica"/>
          <w:sz w:val="14"/>
          <w:szCs w:val="14"/>
          <w:color w:val="auto"/>
        </w:rPr>
        <w:t>SSH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Helvetica" w:cs="Helvetica" w:eastAsia="Helvetica" w:hAnsi="Helvetica"/>
          <w:sz w:val="16"/>
          <w:szCs w:val="16"/>
          <w:color w:val="auto"/>
        </w:rPr>
        <w:t>SNMPv3</w:t>
      </w:r>
    </w:p>
    <w:p>
      <w:pPr>
        <w:ind w:left="528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冗余：</w:t>
      </w:r>
      <w:r>
        <w:rPr>
          <w:rFonts w:ascii="Helvetica" w:cs="Helvetica" w:eastAsia="Helvetica" w:hAnsi="Helvetica"/>
          <w:sz w:val="16"/>
          <w:szCs w:val="16"/>
          <w:color w:val="auto"/>
        </w:rPr>
        <w:t>Gigabit X-Ring Pro</w:t>
      </w:r>
      <w:r>
        <w:rPr>
          <w:rFonts w:ascii="宋体" w:cs="宋体" w:eastAsia="宋体" w:hAnsi="宋体"/>
          <w:sz w:val="16"/>
          <w:szCs w:val="16"/>
          <w:color w:val="auto"/>
        </w:rPr>
        <w:t>（超高速恢复时间</w:t>
      </w:r>
      <w:r>
        <w:rPr>
          <w:rFonts w:ascii="Helvetica" w:cs="Helvetica" w:eastAsia="Helvetica" w:hAnsi="Helvetica"/>
          <w:sz w:val="16"/>
          <w:szCs w:val="16"/>
          <w:color w:val="auto"/>
        </w:rPr>
        <w:t>&lt;20 ms</w:t>
      </w:r>
      <w:r>
        <w:rPr>
          <w:rFonts w:ascii="宋体" w:cs="宋体" w:eastAsia="宋体" w:hAnsi="宋体"/>
          <w:sz w:val="16"/>
          <w:szCs w:val="16"/>
          <w:color w:val="auto"/>
        </w:rPr>
        <w:t>）、</w:t>
      </w:r>
      <w:r>
        <w:rPr>
          <w:rFonts w:ascii="Helvetica" w:cs="Helvetica" w:eastAsia="Helvetica" w:hAnsi="Helvetica"/>
          <w:sz w:val="16"/>
          <w:szCs w:val="16"/>
          <w:color w:val="auto"/>
        </w:rPr>
        <w:t>RSTP/</w:t>
      </w:r>
    </w:p>
    <w:p>
      <w:pPr>
        <w:ind w:left="5360"/>
        <w:spacing w:after="0" w:line="193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STP</w:t>
      </w:r>
      <w:r>
        <w:rPr>
          <w:rFonts w:ascii="宋体" w:cs="宋体" w:eastAsia="宋体" w:hAnsi="宋体"/>
          <w:sz w:val="16"/>
          <w:szCs w:val="16"/>
          <w:color w:val="auto"/>
        </w:rPr>
        <w:t>（</w:t>
      </w:r>
      <w:r>
        <w:rPr>
          <w:rFonts w:ascii="Helvetica" w:cs="Helvetica" w:eastAsia="Helvetica" w:hAnsi="Helvetica"/>
          <w:sz w:val="16"/>
          <w:szCs w:val="16"/>
          <w:color w:val="auto"/>
        </w:rPr>
        <w:t>802.1w/1d</w:t>
      </w:r>
      <w:r>
        <w:rPr>
          <w:rFonts w:ascii="宋体" w:cs="宋体" w:eastAsia="宋体" w:hAnsi="宋体"/>
          <w:sz w:val="16"/>
          <w:szCs w:val="16"/>
          <w:color w:val="auto"/>
        </w:rPr>
        <w:t>）、</w:t>
      </w:r>
      <w:r>
        <w:rPr>
          <w:rFonts w:ascii="Helvetica" w:cs="Helvetica" w:eastAsia="Helvetica" w:hAnsi="Helvetica"/>
          <w:sz w:val="16"/>
          <w:szCs w:val="16"/>
          <w:color w:val="auto"/>
        </w:rPr>
        <w:t>MSTP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280"/>
        <w:spacing w:after="0" w:line="170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4"/>
          <w:szCs w:val="14"/>
          <w:color w:val="auto"/>
        </w:rPr>
        <w:t>48Vdc</w:t>
      </w:r>
      <w:r>
        <w:rPr>
          <w:rFonts w:ascii="宋体" w:cs="宋体" w:eastAsia="宋体" w:hAnsi="宋体"/>
          <w:sz w:val="14"/>
          <w:szCs w:val="14"/>
          <w:color w:val="auto"/>
        </w:rPr>
        <w:t>电源输入（</w:t>
      </w:r>
      <w:r>
        <w:rPr>
          <w:rFonts w:ascii="Helvetica" w:cs="Helvetica" w:eastAsia="Helvetica" w:hAnsi="Helvetica"/>
          <w:sz w:val="14"/>
          <w:szCs w:val="14"/>
          <w:color w:val="auto"/>
        </w:rPr>
        <w:t>PoE AF</w:t>
      </w:r>
      <w:r>
        <w:rPr>
          <w:rFonts w:ascii="宋体" w:cs="宋体" w:eastAsia="宋体" w:hAnsi="宋体"/>
          <w:sz w:val="14"/>
          <w:szCs w:val="14"/>
          <w:color w:val="auto"/>
        </w:rPr>
        <w:t>为</w:t>
      </w:r>
      <w:r>
        <w:rPr>
          <w:rFonts w:ascii="Helvetica" w:cs="Helvetica" w:eastAsia="Helvetica" w:hAnsi="Helvetica"/>
          <w:sz w:val="14"/>
          <w:szCs w:val="14"/>
          <w:color w:val="auto"/>
        </w:rPr>
        <w:t>46-57 Vdc</w:t>
      </w:r>
      <w:r>
        <w:rPr>
          <w:rFonts w:ascii="宋体" w:cs="宋体" w:eastAsia="宋体" w:hAnsi="宋体"/>
          <w:sz w:val="14"/>
          <w:szCs w:val="14"/>
          <w:color w:val="auto"/>
        </w:rPr>
        <w:t>，</w:t>
      </w:r>
      <w:r>
        <w:rPr>
          <w:rFonts w:ascii="Helvetica" w:cs="Helvetica" w:eastAsia="Helvetica" w:hAnsi="Helvetica"/>
          <w:sz w:val="14"/>
          <w:szCs w:val="14"/>
          <w:color w:val="auto"/>
        </w:rPr>
        <w:t>AT</w:t>
      </w:r>
      <w:r>
        <w:rPr>
          <w:rFonts w:ascii="宋体" w:cs="宋体" w:eastAsia="宋体" w:hAnsi="宋体"/>
          <w:sz w:val="14"/>
          <w:szCs w:val="14"/>
          <w:color w:val="auto"/>
        </w:rPr>
        <w:t>为</w:t>
      </w:r>
      <w:r>
        <w:rPr>
          <w:rFonts w:ascii="Helvetica" w:cs="Helvetica" w:eastAsia="Helvetica" w:hAnsi="Helvetica"/>
          <w:sz w:val="14"/>
          <w:szCs w:val="14"/>
          <w:color w:val="auto"/>
        </w:rPr>
        <w:t>53-57 Vdc</w:t>
      </w:r>
      <w:r>
        <w:rPr>
          <w:rFonts w:ascii="宋体" w:cs="宋体" w:eastAsia="宋体" w:hAnsi="宋体"/>
          <w:sz w:val="14"/>
          <w:szCs w:val="14"/>
          <w:color w:val="auto"/>
        </w:rPr>
        <w:t>）和</w:t>
      </w:r>
      <w:r>
        <w:rPr>
          <w:rFonts w:ascii="Helvetica" w:cs="Helvetica" w:eastAsia="Helvetica" w:hAnsi="Helvetica"/>
          <w:sz w:val="14"/>
          <w:szCs w:val="14"/>
          <w:color w:val="auto"/>
        </w:rPr>
        <w:t>2</w:t>
      </w:r>
      <w:r>
        <w:rPr>
          <w:rFonts w:ascii="宋体" w:cs="宋体" w:eastAsia="宋体" w:hAnsi="宋体"/>
          <w:sz w:val="14"/>
          <w:szCs w:val="14"/>
          <w:color w:val="auto"/>
        </w:rPr>
        <w:t>个继电器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536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输出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28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-40~70°C</w:t>
      </w:r>
      <w:r>
        <w:rPr>
          <w:rFonts w:ascii="宋体" w:cs="宋体" w:eastAsia="宋体" w:hAnsi="宋体"/>
          <w:sz w:val="16"/>
          <w:szCs w:val="16"/>
          <w:color w:val="auto"/>
        </w:rPr>
        <w:t>宽范围工作温度</w:t>
      </w:r>
    </w:p>
    <w:p>
      <w:pPr>
        <w:ind w:left="528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支持安全包以抵御内部和外部网络威胁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46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spacing w:after="0" w:line="19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EKI-7428G</w:t>
      </w:r>
      <w:r>
        <w:rPr>
          <w:rFonts w:ascii="宋体" w:cs="宋体" w:eastAsia="宋体" w:hAnsi="宋体"/>
          <w:sz w:val="16"/>
          <w:szCs w:val="16"/>
          <w:color w:val="auto"/>
        </w:rPr>
        <w:t>是一款工业级第</w:t>
      </w:r>
      <w:r>
        <w:rPr>
          <w:rFonts w:ascii="Helvetica" w:cs="Helvetica" w:eastAsia="Helvetica" w:hAnsi="Helvetica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层全网管交换机，包括</w:t>
      </w:r>
      <w:r>
        <w:rPr>
          <w:rFonts w:ascii="Helvetica" w:cs="Helvetica" w:eastAsia="Helvetica" w:hAnsi="Helvetica"/>
          <w:sz w:val="16"/>
          <w:szCs w:val="16"/>
          <w:color w:val="auto"/>
        </w:rPr>
        <w:t>24</w:t>
      </w:r>
      <w:r>
        <w:rPr>
          <w:rFonts w:ascii="宋体" w:cs="宋体" w:eastAsia="宋体" w:hAnsi="宋体"/>
          <w:sz w:val="16"/>
          <w:szCs w:val="16"/>
          <w:color w:val="auto"/>
        </w:rPr>
        <w:t>个千兆端口和</w:t>
      </w:r>
      <w:r>
        <w:rPr>
          <w:rFonts w:ascii="Helvetica" w:cs="Helvetica" w:eastAsia="Helvetica" w:hAnsi="Helvetica"/>
          <w:sz w:val="16"/>
          <w:szCs w:val="16"/>
          <w:color w:val="auto"/>
        </w:rPr>
        <w:t>4</w:t>
      </w:r>
      <w:r>
        <w:rPr>
          <w:rFonts w:ascii="宋体" w:cs="宋体" w:eastAsia="宋体" w:hAnsi="宋体"/>
          <w:sz w:val="16"/>
          <w:szCs w:val="16"/>
          <w:color w:val="auto"/>
        </w:rPr>
        <w:t>个千兆组合端口。它是为机架安装而设计的，可以部署在苛刻的工业环境中。它适用于边缘到核心的工业网络。它集成了第</w:t>
      </w:r>
      <w:r>
        <w:rPr>
          <w:rFonts w:ascii="Helvetica" w:cs="Helvetica" w:eastAsia="Helvetica" w:hAnsi="Helvetica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层交换软件，该软件针对规模和性能进行了优化，为第</w:t>
      </w:r>
      <w:r>
        <w:rPr>
          <w:rFonts w:ascii="Helvetica" w:cs="Helvetica" w:eastAsia="Helvetica" w:hAnsi="Helvetica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层流量转发提供跨所有端口高达</w:t>
      </w:r>
      <w:r>
        <w:rPr>
          <w:rFonts w:ascii="Helvetica" w:cs="Helvetica" w:eastAsia="Helvetica" w:hAnsi="Helvetica"/>
          <w:sz w:val="16"/>
          <w:szCs w:val="16"/>
          <w:color w:val="auto"/>
        </w:rPr>
        <w:t>56 Gbps</w:t>
      </w:r>
      <w:r>
        <w:rPr>
          <w:rFonts w:ascii="宋体" w:cs="宋体" w:eastAsia="宋体" w:hAnsi="宋体"/>
          <w:sz w:val="16"/>
          <w:szCs w:val="16"/>
          <w:color w:val="auto"/>
        </w:rPr>
        <w:t>的网速。此外，</w:t>
      </w:r>
      <w:r>
        <w:rPr>
          <w:rFonts w:ascii="Helvetica" w:cs="Helvetica" w:eastAsia="Helvetica" w:hAnsi="Helvetica"/>
          <w:sz w:val="16"/>
          <w:szCs w:val="16"/>
          <w:color w:val="auto"/>
        </w:rPr>
        <w:t>PoE</w:t>
      </w:r>
      <w:r>
        <w:rPr>
          <w:rFonts w:ascii="宋体" w:cs="宋体" w:eastAsia="宋体" w:hAnsi="宋体"/>
          <w:sz w:val="16"/>
          <w:szCs w:val="16"/>
          <w:color w:val="auto"/>
        </w:rPr>
        <w:t>设计为每个端口提供高达</w:t>
      </w:r>
      <w:r>
        <w:rPr>
          <w:rFonts w:ascii="Helvetica" w:cs="Helvetica" w:eastAsia="Helvetica" w:hAnsi="Helvetica"/>
          <w:sz w:val="16"/>
          <w:szCs w:val="16"/>
          <w:color w:val="auto"/>
        </w:rPr>
        <w:t>30</w:t>
      </w:r>
      <w:r>
        <w:rPr>
          <w:rFonts w:ascii="宋体" w:cs="宋体" w:eastAsia="宋体" w:hAnsi="宋体"/>
          <w:sz w:val="16"/>
          <w:szCs w:val="16"/>
          <w:color w:val="auto"/>
        </w:rPr>
        <w:t>瓦的功率，以满足高功耗设备的需要，此外，它还支持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-40~70°C</w:t>
      </w:r>
      <w:r>
        <w:rPr>
          <w:rFonts w:ascii="宋体" w:cs="宋体" w:eastAsia="宋体" w:hAnsi="宋体"/>
          <w:sz w:val="16"/>
          <w:szCs w:val="16"/>
          <w:color w:val="auto"/>
        </w:rPr>
        <w:t>工作温度下的高可靠性，以及双</w:t>
      </w:r>
      <w:r>
        <w:rPr>
          <w:rFonts w:ascii="Helvetica" w:cs="Helvetica" w:eastAsia="Helvetica" w:hAnsi="Helvetica"/>
          <w:sz w:val="16"/>
          <w:szCs w:val="16"/>
          <w:color w:val="auto"/>
        </w:rPr>
        <w:t>48 Vdc</w:t>
      </w:r>
      <w:r>
        <w:rPr>
          <w:rFonts w:ascii="宋体" w:cs="宋体" w:eastAsia="宋体" w:hAnsi="宋体"/>
          <w:sz w:val="16"/>
          <w:szCs w:val="16"/>
          <w:color w:val="auto"/>
        </w:rPr>
        <w:t>输入电源设计，以确保最短的停机时间确保重要的网络功能。它还嵌入了</w:t>
      </w:r>
      <w:r>
        <w:rPr>
          <w:rFonts w:ascii="Helvetica" w:cs="Helvetica" w:eastAsia="Helvetica" w:hAnsi="Helvetica"/>
          <w:sz w:val="16"/>
          <w:szCs w:val="16"/>
          <w:color w:val="auto"/>
        </w:rPr>
        <w:t>Advantech ixm</w:t>
      </w:r>
      <w:r>
        <w:rPr>
          <w:rFonts w:ascii="宋体" w:cs="宋体" w:eastAsia="宋体" w:hAnsi="宋体"/>
          <w:sz w:val="16"/>
          <w:szCs w:val="16"/>
          <w:color w:val="auto"/>
        </w:rPr>
        <w:t>，通过快速部署，用户受益匪浅，可以显著节省工程师的时间和成本。</w:t>
      </w:r>
    </w:p>
    <w:p>
      <w:pPr>
        <w:sectPr>
          <w:pgSz w:w="12240" w:h="15930" w:orient="portrait"/>
          <w:cols w:equalWidth="0" w:num="1">
            <w:col w:w="9960"/>
          </w:cols>
          <w:pgMar w:left="1140" w:top="504" w:right="1140" w:bottom="0" w:gutter="0" w:footer="0" w:header="0"/>
          <w:type w:val="continuous"/>
        </w:sectPr>
      </w:pP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标准</w:t>
            </w: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IEEE 802.3, 802.3u, 802.3x, 802.3z, 802.1D, 802.1w,</w:t>
            </w:r>
          </w:p>
        </w:tc>
      </w:tr>
      <w:tr>
        <w:trPr>
          <w:trHeight w:val="18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802.1p, 802.1Q, 802.1X, 802.3ad, 802.3ab</w:t>
            </w:r>
          </w:p>
        </w:tc>
      </w:tr>
      <w:tr>
        <w:trPr>
          <w:trHeight w:val="205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10/100/1000Base-T (X), Optional 100Base-FX,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1000Base-SX/LX/LHX/XD/ZX/EZX</w:t>
            </w:r>
          </w:p>
        </w:tc>
      </w:tr>
      <w:tr>
        <w:trPr>
          <w:trHeight w:val="208"/>
        </w:trPr>
        <w:tc>
          <w:tcPr>
            <w:tcW w:w="132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传输距离</w:t>
            </w: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Ethernet: Up to 100 m (4- wire Cat.5e, Cat.6 RJ45</w:t>
            </w:r>
          </w:p>
        </w:tc>
      </w:tr>
      <w:tr>
        <w:trPr>
          <w:trHeight w:val="18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cable suggested for Gigabit port)</w:t>
            </w: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SFP: Up to 110 km (depends on SFP)</w:t>
            </w:r>
          </w:p>
        </w:tc>
      </w:tr>
      <w:tr>
        <w:trPr>
          <w:trHeight w:val="20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传输速度</w:t>
            </w: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Gigabit Copper: 10/100/1000 Mbps, Auto-Negotiation</w:t>
            </w:r>
          </w:p>
        </w:tc>
      </w:tr>
      <w:tr>
        <w:trPr>
          <w:trHeight w:val="183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Gigabit Fiber: Up to 1000 Mbps</w:t>
            </w:r>
          </w:p>
        </w:tc>
      </w:tr>
    </w:tbl>
    <w:p>
      <w:pPr>
        <w:spacing w:after="0" w:line="141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60"/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连接器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24 x RJ45 (Ethernet)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 x RJ45/SFP (mini-GBIC) combo ports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4-pin removable screw terminal (Power)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3-pin removable screw terminal (Relay)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 w:line="194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LED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指示灯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10/100T (X): Link/Activity, Duplex/Collision</w: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Gigabit Copper: Link/Activity, Speed (1000 Mbps)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SFP: Link/Activity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控制台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RS-232 (RJ45)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网络管理</w:t>
      </w:r>
    </w:p>
    <w:p>
      <w:pPr>
        <w:spacing w:after="0" w:line="5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配置</w:t>
            </w: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Web browser, Telnet, Serial console, TFTP, SNMPv1/</w:t>
            </w:r>
          </w:p>
        </w:tc>
      </w:tr>
      <w:tr>
        <w:trPr>
          <w:trHeight w:val="18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v2c/v3, Port Speed/Duplex Configuration, IPv6</w:t>
            </w:r>
          </w:p>
        </w:tc>
      </w:tr>
      <w:tr>
        <w:trPr>
          <w:trHeight w:val="20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VLAN</w:t>
            </w: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IEEE 802.1Q, GVRP, Port-based VLAN</w:t>
            </w:r>
          </w:p>
        </w:tc>
      </w:tr>
      <w:tr>
        <w:trPr>
          <w:trHeight w:val="205"/>
        </w:trPr>
        <w:tc>
          <w:tcPr>
            <w:tcW w:w="136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冗余</w:t>
            </w: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Advantech X-Ring, 802.1w/1D/1s RSTP/STP/MSTP</w:t>
            </w:r>
          </w:p>
        </w:tc>
      </w:tr>
      <w:tr>
        <w:trPr>
          <w:trHeight w:val="20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IP Security, SSH, SSL, SNMPV3, HTTPS, IP Source</w:t>
            </w:r>
          </w:p>
        </w:tc>
      </w:tr>
      <w:tr>
        <w:trPr>
          <w:trHeight w:val="18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Guard, DHCP Snooping, ARP Spoofing Prevention,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802.1X, TACACS+, Access Control List</w:t>
            </w:r>
          </w:p>
        </w:tc>
      </w:tr>
      <w:tr>
        <w:trPr>
          <w:trHeight w:val="20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 xml:space="preserve">Traffic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控制</w:t>
            </w: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IGMP Snooping/Query for multicast group</w:t>
            </w:r>
          </w:p>
        </w:tc>
      </w:tr>
      <w:tr>
        <w:trPr>
          <w:trHeight w:val="18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management, Port Trunking, Static/802.3ad, LACP Rate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limit and storm control, IEEE 802.1p QoS CoS/TOS/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DSCP priority queuing, IEEE 802.3x flow control</w:t>
            </w:r>
          </w:p>
        </w:tc>
      </w:tr>
      <w:tr>
        <w:trPr>
          <w:trHeight w:val="208"/>
        </w:trPr>
        <w:tc>
          <w:tcPr>
            <w:tcW w:w="1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1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诊断</w:t>
            </w: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Port Mirroring, Real-time traffic statistic, MAC Address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Table, SNTP, Syslog, E-Mail Alert, SNMP Trap, RMON</w:t>
            </w:r>
          </w:p>
        </w:tc>
      </w:tr>
    </w:tbl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1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构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2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外壳</w:t>
            </w:r>
          </w:p>
        </w:tc>
        <w:tc>
          <w:tcPr>
            <w:tcW w:w="29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IP30, metal shell with solid mounting kits</w:t>
            </w:r>
          </w:p>
        </w:tc>
      </w:tr>
      <w:tr>
        <w:trPr>
          <w:trHeight w:val="222"/>
        </w:trPr>
        <w:tc>
          <w:tcPr>
            <w:tcW w:w="1440" w:type="dxa"/>
            <w:vAlign w:val="bottom"/>
            <w:gridSpan w:val="2"/>
          </w:tcPr>
          <w:p>
            <w:pPr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尺寸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(W x H x D)</w:t>
            </w:r>
          </w:p>
        </w:tc>
        <w:tc>
          <w:tcPr>
            <w:tcW w:w="296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438 x 43.6 x 259.20 mm (17.24" x 1.72" x 10.2")</w:t>
            </w:r>
          </w:p>
        </w:tc>
      </w:tr>
      <w:tr>
        <w:trPr>
          <w:trHeight w:val="22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2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安装</w:t>
            </w:r>
          </w:p>
        </w:tc>
        <w:tc>
          <w:tcPr>
            <w:tcW w:w="29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1U 19" Rack mount</w:t>
            </w:r>
          </w:p>
        </w:tc>
      </w:tr>
    </w:tbl>
    <w:p>
      <w:pPr>
        <w:spacing w:after="0" w:line="144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780" w:space="340"/>
            <w:col w:w="4840"/>
          </w:cols>
          <w:pgMar w:left="1140" w:top="504" w:right="1140" w:bottom="0" w:gutter="0" w:footer="0" w:header="0"/>
          <w:type w:val="continuous"/>
        </w:sectPr>
      </w:pPr>
    </w:p>
    <w:p>
      <w:pPr>
        <w:ind w:left="530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源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5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功耗</w:t>
            </w:r>
          </w:p>
        </w:tc>
        <w:tc>
          <w:tcPr>
            <w:tcW w:w="76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20W</w:t>
            </w:r>
          </w:p>
        </w:tc>
        <w:tc>
          <w:tcPr>
            <w:tcW w:w="4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@ 24V</w:t>
            </w: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(EKI-7428G-4CI)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20W</w:t>
            </w:r>
          </w:p>
        </w:tc>
        <w:tc>
          <w:tcPr>
            <w:tcW w:w="4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@ 48V</w:t>
            </w:r>
          </w:p>
        </w:tc>
        <w:tc>
          <w:tcPr>
            <w:tcW w:w="15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(EKI-7428G-4CPI)</w:t>
            </w:r>
          </w:p>
        </w:tc>
      </w:tr>
      <w:tr>
        <w:trPr>
          <w:trHeight w:val="226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电力预算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685W (EKI-7428G-4CPI)</w:t>
            </w:r>
          </w:p>
        </w:tc>
      </w:tr>
      <w:tr>
        <w:trPr>
          <w:trHeight w:val="217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电源输入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EKI-7428G-4CI 12-48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80" w:type="dxa"/>
            <w:vAlign w:val="bottom"/>
            <w:gridSpan w:val="3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EKI-7428G-4CPI 48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8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 xml:space="preserve"> (46 to 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8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),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80" w:type="dxa"/>
            <w:vAlign w:val="bottom"/>
            <w:gridSpan w:val="3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53 -57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8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 xml:space="preserve"> is recommended for 802.3at</w:t>
            </w:r>
          </w:p>
        </w:tc>
      </w:tr>
      <w:tr>
        <w:trPr>
          <w:trHeight w:val="226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故障输出</w:t>
            </w:r>
          </w:p>
        </w:tc>
        <w:tc>
          <w:tcPr>
            <w:tcW w:w="2680" w:type="dxa"/>
            <w:vAlign w:val="bottom"/>
            <w:gridSpan w:val="3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 Relay Outputs</w:t>
            </w:r>
          </w:p>
        </w:tc>
      </w:tr>
    </w:tbl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530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护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5120"/>
        <w:spacing w:after="0" w:line="192" w:lineRule="exact"/>
        <w:tabs>
          <w:tab w:leader="none" w:pos="68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反极性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5120"/>
        <w:spacing w:after="0" w:line="192" w:lineRule="exact"/>
        <w:tabs>
          <w:tab w:leader="none" w:pos="68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过载电流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-15240</wp:posOffset>
            </wp:positionH>
            <wp:positionV relativeFrom="paragraph">
              <wp:posOffset>247015</wp:posOffset>
            </wp:positionV>
            <wp:extent cx="6344285" cy="2406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Ethernet Soultions</w:t>
      </w:r>
    </w:p>
    <w:p>
      <w:pPr>
        <w:sectPr>
          <w:pgSz w:w="12240" w:h="15930" w:orient="portrait"/>
          <w:cols w:equalWidth="0" w:num="1">
            <w:col w:w="9960"/>
          </w:cols>
          <w:pgMar w:left="1140" w:top="504" w:right="1140" w:bottom="0" w:gutter="0" w:footer="0" w:header="0"/>
          <w:type w:val="continuous"/>
        </w:sectPr>
      </w:pP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22-Jun-2018</w:t>
      </w:r>
    </w:p>
    <w:p>
      <w:pPr>
        <w:sectPr>
          <w:pgSz w:w="12240" w:h="15930" w:orient="portrait"/>
          <w:cols w:equalWidth="0" w:num="1">
            <w:col w:w="9960"/>
          </w:cols>
          <w:pgMar w:left="1140" w:top="504" w:right="1140" w:bottom="0" w:gutter="0" w:footer="0" w:header="0"/>
          <w:type w:val="continuous"/>
        </w:sectPr>
      </w:pPr>
    </w:p>
    <w:bookmarkStart w:id="1" w:name="page2"/>
    <w:bookmarkEnd w:id="1"/>
    <w:p>
      <w:pPr>
        <w:ind w:left="830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7"/>
          <w:szCs w:val="27"/>
          <w:b w:val="1"/>
          <w:bCs w:val="1"/>
          <w:color w:val="333333"/>
        </w:rPr>
        <w:t>EKI-7428-4CI</w:t>
      </w:r>
    </w:p>
    <w:p>
      <w:pPr>
        <w:ind w:left="830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EKI-7428-4CPI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3322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0.25pt" to="498.6pt,10.2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240665</wp:posOffset>
                </wp:positionV>
                <wp:extent cx="0" cy="395986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5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1pt,18.95pt" to="498.1pt,330.7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9.45pt" to="498.6pt,19.4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240665</wp:posOffset>
                </wp:positionV>
                <wp:extent cx="0" cy="395986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5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18.95pt" to="0.5pt,330.7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4194175</wp:posOffset>
                </wp:positionV>
                <wp:extent cx="63322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30.25pt" to="498.6pt,330.2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7"/>
          </w:cols>
          <w:pgMar w:left="1133" w:top="1305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247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right"/>
        <w:ind w:righ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426 [16.77]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1978025</wp:posOffset>
            </wp:positionH>
            <wp:positionV relativeFrom="paragraph">
              <wp:posOffset>-14605</wp:posOffset>
            </wp:positionV>
            <wp:extent cx="2321560" cy="3454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3287"/>
        <w:spacing w:after="0"/>
        <w:tabs>
          <w:tab w:leader="none" w:pos="37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79.30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31.50</w:t>
      </w:r>
    </w:p>
    <w:p>
      <w:pPr>
        <w:ind w:left="3287"/>
        <w:spacing w:after="0"/>
        <w:tabs>
          <w:tab w:leader="none" w:pos="374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[3.12]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[1.24]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1893570</wp:posOffset>
            </wp:positionH>
            <wp:positionV relativeFrom="paragraph">
              <wp:posOffset>-15875</wp:posOffset>
            </wp:positionV>
            <wp:extent cx="2560955" cy="18834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967"/>
        <w:spacing w:after="0" w:line="193" w:lineRule="auto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41</w:t>
      </w:r>
    </w:p>
    <w:p>
      <w:pPr>
        <w:jc w:val="center"/>
        <w:ind w:right="69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[0.87] [1.61]</w:t>
      </w:r>
    </w:p>
    <w:p>
      <w:pPr>
        <w:spacing w:after="0" w:line="88" w:lineRule="exact"/>
        <w:rPr>
          <w:sz w:val="20"/>
          <w:szCs w:val="20"/>
          <w:color w:val="auto"/>
        </w:rPr>
      </w:pPr>
    </w:p>
    <w:tbl>
      <w:tblPr>
        <w:tblLayout w:type="fixed"/>
        <w:tblInd w:w="268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286" w:type="dxa"/>
            <w:vAlign w:val="bottom"/>
            <w:textDirection w:val="btLr"/>
          </w:tcPr>
          <w:p>
            <w:pPr>
              <w:ind w:hanging="39"/>
              <w:spacing w:after="0" w:line="24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[0.36] 209.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1113790</wp:posOffset>
            </wp:positionH>
            <wp:positionV relativeFrom="paragraph">
              <wp:posOffset>-136525</wp:posOffset>
            </wp:positionV>
            <wp:extent cx="254635" cy="14465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460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438 [17.24]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1981835</wp:posOffset>
            </wp:positionH>
            <wp:positionV relativeFrom="paragraph">
              <wp:posOffset>279400</wp:posOffset>
            </wp:positionV>
            <wp:extent cx="2472690" cy="25463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 [inch]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tbl>
      <w:tblPr>
        <w:tblLayout w:type="fixed"/>
        <w:tblInd w:w="13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0"/>
        </w:trPr>
        <w:tc>
          <w:tcPr>
            <w:tcW w:w="256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6350" cy="1536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153670" cy="692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 xml:space="preserve">                                                                      12 [0.47]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144145</wp:posOffset>
            </wp:positionH>
            <wp:positionV relativeFrom="paragraph">
              <wp:posOffset>-213995</wp:posOffset>
            </wp:positionV>
            <wp:extent cx="33655" cy="8826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744220</wp:posOffset>
            </wp:positionH>
            <wp:positionV relativeFrom="paragraph">
              <wp:posOffset>688340</wp:posOffset>
            </wp:positionV>
            <wp:extent cx="254635" cy="14465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tbl>
      <w:tblPr>
        <w:tblLayout w:type="fixed"/>
        <w:tblInd w:w="33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259.20 [10.20]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2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298" w:type="dxa"/>
            <w:vAlign w:val="bottom"/>
            <w:textDirection w:val="btLr"/>
          </w:tcPr>
          <w:p>
            <w:pPr>
              <w:ind w:hanging="3"/>
              <w:spacing w:after="0" w:line="25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72][1. 6043.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927" w:space="720"/>
            <w:col w:w="3320"/>
          </w:cols>
          <w:pgMar w:left="1133" w:top="1305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187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境</w:t>
      </w: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ind w:left="7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工作温度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7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储存温度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7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工作湿度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7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储存湿度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167" w:hanging="167"/>
        <w:spacing w:after="0"/>
        <w:tabs>
          <w:tab w:leader="none" w:pos="167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MTBF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-40 ~ 70°C (-40 ~ 158°F)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-40 ~ 85°C (-40 ~ 185°F)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10 ~ 95% (</w:t>
      </w:r>
      <w:r>
        <w:rPr>
          <w:rFonts w:ascii="宋体" w:cs="宋体" w:eastAsia="宋体" w:hAnsi="宋体"/>
          <w:sz w:val="16"/>
          <w:szCs w:val="16"/>
          <w:color w:val="auto"/>
        </w:rPr>
        <w:t>非凝结</w:t>
      </w:r>
      <w:r>
        <w:rPr>
          <w:rFonts w:ascii="Helvetica" w:cs="Helvetica" w:eastAsia="Helvetica" w:hAnsi="Helvetica"/>
          <w:sz w:val="16"/>
          <w:szCs w:val="16"/>
          <w:color w:val="auto"/>
        </w:rPr>
        <w:t>)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10 ~ 95% (</w:t>
      </w:r>
      <w:r>
        <w:rPr>
          <w:rFonts w:ascii="宋体" w:cs="宋体" w:eastAsia="宋体" w:hAnsi="宋体"/>
          <w:sz w:val="16"/>
          <w:szCs w:val="16"/>
          <w:color w:val="auto"/>
        </w:rPr>
        <w:t>非凝结</w:t>
      </w:r>
      <w:r>
        <w:rPr>
          <w:rFonts w:ascii="Helvetica" w:cs="Helvetica" w:eastAsia="Helvetica" w:hAnsi="Helvetica"/>
          <w:sz w:val="16"/>
          <w:szCs w:val="16"/>
          <w:color w:val="auto"/>
        </w:rPr>
        <w:t>)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EKI-7428-4CI: 787,940 hours</w:t>
      </w:r>
    </w:p>
    <w:p>
      <w:pPr>
        <w:spacing w:after="0" w:line="59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EKI-7428G-4CPI: 424,517 hours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64" w:lineRule="exact"/>
        <w:rPr>
          <w:sz w:val="20"/>
          <w:szCs w:val="20"/>
          <w:color w:val="auto"/>
        </w:rPr>
      </w:pPr>
    </w:p>
    <w:p>
      <w:pPr>
        <w:jc w:val="center"/>
        <w:ind w:right="380"/>
        <w:spacing w:after="0"/>
        <w:tabs>
          <w:tab w:leader="none" w:pos="40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EKI-7428G-4CI-AE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24GE+4G Combo Port Managed Ethernet Switch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5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w/ Wide Temp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1760" w:right="180" w:hanging="1756"/>
        <w:spacing w:after="0" w:line="246" w:lineRule="auto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EKI-7428G-4CPI-AE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6"/>
          <w:szCs w:val="16"/>
          <w:color w:val="auto"/>
        </w:rPr>
        <w:t>24G+4G Combo Port POE Managed Ethernet Switch w/ Wide Temp</w:t>
      </w:r>
    </w:p>
    <w:p>
      <w:pPr>
        <w:spacing w:after="0" w:line="512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1027" w:space="720"/>
            <w:col w:w="2660" w:space="720"/>
            <w:col w:w="4840"/>
          </w:cols>
          <w:pgMar w:left="1133" w:top="1305" w:right="1140" w:bottom="0" w:gutter="0" w:footer="0" w:header="0"/>
          <w:type w:val="continuous"/>
        </w:sectPr>
      </w:pP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187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证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7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安全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167" w:hanging="166"/>
        <w:spacing w:after="0"/>
        <w:tabs>
          <w:tab w:leader="none" w:pos="167" w:val="left"/>
        </w:tabs>
        <w:numPr>
          <w:ilvl w:val="0"/>
          <w:numId w:val="2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EMI</w:t>
      </w:r>
    </w:p>
    <w:p>
      <w:pPr>
        <w:spacing w:after="0" w:line="27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7" w:hanging="166"/>
        <w:spacing w:after="0"/>
        <w:tabs>
          <w:tab w:leader="none" w:pos="167" w:val="left"/>
        </w:tabs>
        <w:numPr>
          <w:ilvl w:val="0"/>
          <w:numId w:val="2"/>
        </w:numP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EMS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UL 61010-2-201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CE FCC EN55022 Class A</w:t>
      </w:r>
    </w:p>
    <w:p>
      <w:pPr>
        <w:spacing w:after="0" w:line="4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 61000-4-2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 61000-4-3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 61000-4-4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 61000-4-5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 61000-4-6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 61000-4-8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1047" w:space="720"/>
            <w:col w:w="8200"/>
          </w:cols>
          <w:pgMar w:left="1133" w:top="1305" w:right="1140" w:bottom="0" w:gutter="0" w:footer="0" w:header="0"/>
          <w:type w:val="continuous"/>
        </w:sect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60068-2-27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60068-2-32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60068-2-6</w:t>
            </w:r>
          </w:p>
        </w:tc>
      </w:tr>
      <w:tr>
        <w:trPr>
          <w:trHeight w:val="218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Railway Track Side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50121-4</w:t>
            </w:r>
          </w:p>
        </w:tc>
      </w:tr>
      <w:tr>
        <w:trPr>
          <w:trHeight w:val="20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Patent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http://www.advantech.com/legal/patent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1244600</wp:posOffset>
                </wp:positionV>
                <wp:extent cx="6332855" cy="16446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85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0pt;margin-top:98pt;width:498.6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1256665</wp:posOffset>
                </wp:positionV>
                <wp:extent cx="1560830" cy="13970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350.55pt;margin-top:98.95pt;width:122.9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7"/>
          </w:cols>
          <w:pgMar w:left="1133" w:top="1305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ind w:left="578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7"/>
      </w:cols>
      <w:pgMar w:left="1133" w:top="1305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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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2019-11-18T15:59:59Z</dcterms:created>
  <dcterms:modified xsi:type="dcterms:W3CDTF">2019-11-18T15:59:59Z</dcterms:modified>
</cp:coreProperties>
</file>