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0" w:right="520"/>
        <w:spacing w:after="0" w:line="25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69"/>
          <w:szCs w:val="69"/>
          <w:b w:val="1"/>
          <w:bCs w:val="1"/>
          <w:color w:val="00044C"/>
        </w:rPr>
        <w:t>EKI-5629CI EKI-5626CI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104775</wp:posOffset>
            </wp:positionV>
            <wp:extent cx="3075940" cy="23044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4" w:lineRule="exact"/>
        <w:rPr>
          <w:sz w:val="24"/>
          <w:szCs w:val="24"/>
          <w:color w:val="auto"/>
        </w:rPr>
      </w:pPr>
    </w:p>
    <w:p>
      <w:pPr>
        <w:spacing w:after="0" w:line="328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7"/>
          <w:szCs w:val="27"/>
          <w:b w:val="1"/>
          <w:bCs w:val="1"/>
          <w:color w:val="333333"/>
        </w:rPr>
        <w:t>8FE+2GE</w:t>
      </w:r>
      <w:r>
        <w:rPr>
          <w:rFonts w:ascii="宋体" w:cs="宋体" w:eastAsia="宋体" w:hAnsi="宋体"/>
          <w:sz w:val="27"/>
          <w:szCs w:val="27"/>
          <w:b w:val="1"/>
          <w:bCs w:val="1"/>
          <w:color w:val="333333"/>
        </w:rPr>
        <w:t>组合以太网前置交换机</w:t>
      </w:r>
    </w:p>
    <w:p>
      <w:pPr>
        <w:spacing w:after="0" w:line="380" w:lineRule="exact"/>
        <w:rPr>
          <w:sz w:val="24"/>
          <w:szCs w:val="24"/>
          <w:color w:val="auto"/>
        </w:rPr>
      </w:pPr>
    </w:p>
    <w:p>
      <w:pPr>
        <w:spacing w:after="0" w:line="316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6"/>
          <w:szCs w:val="26"/>
          <w:b w:val="1"/>
          <w:bCs w:val="1"/>
          <w:color w:val="333333"/>
        </w:rPr>
        <w:t>16FE+2GE</w:t>
      </w:r>
      <w:r>
        <w:rPr>
          <w:rFonts w:ascii="宋体" w:cs="宋体" w:eastAsia="宋体" w:hAnsi="宋体"/>
          <w:sz w:val="26"/>
          <w:szCs w:val="26"/>
          <w:b w:val="1"/>
          <w:bCs w:val="1"/>
          <w:color w:val="333333"/>
        </w:rPr>
        <w:t>组合以太网前置交换机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-3128010</wp:posOffset>
                </wp:positionH>
                <wp:positionV relativeFrom="paragraph">
                  <wp:posOffset>118110</wp:posOffset>
                </wp:positionV>
                <wp:extent cx="633222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46.2999pt,9.3pt" to="252.3pt,9.3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226695</wp:posOffset>
                </wp:positionV>
                <wp:extent cx="3075940" cy="230378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940" cy="2303780"/>
                        </a:xfrm>
                        <a:prstGeom prst="rect">
                          <a:avLst/>
                        </a:prstGeom>
                        <a:solidFill>
                          <a:srgbClr val="D9DAE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10.1pt;margin-top:17.85pt;width:242.2pt;height:181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AE3" stroked="f"/>
            </w:pict>
          </mc:Fallback>
        </mc:AlternateContent>
      </w:r>
    </w:p>
    <w:p>
      <w:pPr>
        <w:spacing w:after="0" w:line="392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220" w:space="720"/>
            <w:col w:w="5040"/>
          </w:cols>
          <w:pgMar w:left="1120" w:top="443" w:right="1140" w:bottom="0" w:gutter="0" w:footer="0" w:header="0"/>
        </w:sectPr>
      </w:pPr>
    </w:p>
    <w:p>
      <w:pPr>
        <w:spacing w:after="0" w:line="94" w:lineRule="exact"/>
        <w:rPr>
          <w:sz w:val="24"/>
          <w:szCs w:val="24"/>
          <w:color w:val="auto"/>
        </w:rPr>
      </w:pPr>
    </w:p>
    <w:p>
      <w:pPr>
        <w:ind w:left="53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特性</w:t>
      </w: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ind w:left="530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>“</w:t>
      </w:r>
      <w:r>
        <w:rPr>
          <w:rFonts w:ascii="宋体" w:cs="宋体" w:eastAsia="宋体" w:hAnsi="宋体"/>
          <w:sz w:val="16"/>
          <w:szCs w:val="16"/>
          <w:color w:val="auto"/>
        </w:rPr>
        <w:t>自动化语言</w:t>
      </w:r>
      <w:r>
        <w:rPr>
          <w:rFonts w:ascii="Arial" w:cs="Arial" w:eastAsia="Arial" w:hAnsi="Arial"/>
          <w:sz w:val="16"/>
          <w:szCs w:val="16"/>
          <w:color w:val="auto"/>
        </w:rPr>
        <w:t>”</w:t>
      </w:r>
      <w:r>
        <w:rPr>
          <w:rFonts w:ascii="Helvetica" w:cs="Helvetica" w:eastAsia="Helvetica" w:hAnsi="Helvetica"/>
          <w:sz w:val="16"/>
          <w:szCs w:val="16"/>
          <w:color w:val="auto"/>
        </w:rPr>
        <w:t>Modbus/TCP</w:t>
      </w:r>
      <w:r>
        <w:rPr>
          <w:rFonts w:ascii="宋体" w:cs="宋体" w:eastAsia="宋体" w:hAnsi="宋体"/>
          <w:sz w:val="16"/>
          <w:szCs w:val="16"/>
          <w:color w:val="auto"/>
        </w:rPr>
        <w:t>协议，可用组态软件管理</w:t>
      </w:r>
    </w:p>
    <w:p>
      <w:pPr>
        <w:spacing w:after="0" w:line="94" w:lineRule="exact"/>
        <w:rPr>
          <w:sz w:val="24"/>
          <w:szCs w:val="24"/>
          <w:color w:val="auto"/>
        </w:rPr>
      </w:pPr>
    </w:p>
    <w:p>
      <w:pPr>
        <w:ind w:left="530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>“IT</w:t>
      </w:r>
      <w:r>
        <w:rPr>
          <w:rFonts w:ascii="宋体" w:cs="宋体" w:eastAsia="宋体" w:hAnsi="宋体"/>
          <w:sz w:val="16"/>
          <w:szCs w:val="16"/>
          <w:color w:val="auto"/>
        </w:rPr>
        <w:t>语言</w:t>
      </w:r>
      <w:r>
        <w:rPr>
          <w:rFonts w:ascii="Arial" w:cs="Arial" w:eastAsia="Arial" w:hAnsi="Arial"/>
          <w:sz w:val="16"/>
          <w:szCs w:val="16"/>
          <w:color w:val="auto"/>
        </w:rPr>
        <w:t>” SNMP</w:t>
      </w:r>
      <w:r>
        <w:rPr>
          <w:rFonts w:ascii="宋体" w:cs="宋体" w:eastAsia="宋体" w:hAnsi="宋体"/>
          <w:sz w:val="16"/>
          <w:szCs w:val="16"/>
          <w:color w:val="auto"/>
        </w:rPr>
        <w:t>协议，可方便采用网管</w:t>
      </w:r>
      <w:r>
        <w:rPr>
          <w:rFonts w:ascii="Arial" w:cs="Arial" w:eastAsia="Arial" w:hAnsi="Arial"/>
          <w:sz w:val="16"/>
          <w:szCs w:val="16"/>
          <w:color w:val="auto"/>
        </w:rPr>
        <w:t>NMS</w:t>
      </w:r>
      <w:r>
        <w:rPr>
          <w:rFonts w:ascii="宋体" w:cs="宋体" w:eastAsia="宋体" w:hAnsi="宋体"/>
          <w:sz w:val="16"/>
          <w:szCs w:val="16"/>
          <w:color w:val="auto"/>
        </w:rPr>
        <w:t>软件进行管理</w:t>
      </w:r>
    </w:p>
    <w:p>
      <w:pPr>
        <w:spacing w:after="0" w:line="94" w:lineRule="exact"/>
        <w:rPr>
          <w:sz w:val="24"/>
          <w:szCs w:val="24"/>
          <w:color w:val="auto"/>
        </w:rPr>
      </w:pPr>
    </w:p>
    <w:p>
      <w:pPr>
        <w:ind w:left="530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基于</w:t>
      </w:r>
      <w:r>
        <w:rPr>
          <w:rFonts w:ascii="Arial" w:cs="Arial" w:eastAsia="Arial" w:hAnsi="Arial"/>
          <w:sz w:val="16"/>
          <w:szCs w:val="16"/>
          <w:color w:val="auto"/>
        </w:rPr>
        <w:t>QoS</w:t>
      </w:r>
      <w:r>
        <w:rPr>
          <w:rFonts w:ascii="宋体" w:cs="宋体" w:eastAsia="宋体" w:hAnsi="宋体"/>
          <w:sz w:val="16"/>
          <w:szCs w:val="16"/>
          <w:color w:val="auto"/>
        </w:rPr>
        <w:t>的</w:t>
      </w:r>
      <w:r>
        <w:rPr>
          <w:rFonts w:ascii="Arial" w:cs="Arial" w:eastAsia="Arial" w:hAnsi="Arial"/>
          <w:sz w:val="16"/>
          <w:szCs w:val="16"/>
          <w:color w:val="auto"/>
        </w:rPr>
        <w:t>VIP</w:t>
      </w:r>
      <w:r>
        <w:rPr>
          <w:rFonts w:ascii="宋体" w:cs="宋体" w:eastAsia="宋体" w:hAnsi="宋体"/>
          <w:sz w:val="16"/>
          <w:szCs w:val="16"/>
          <w:color w:val="auto"/>
        </w:rPr>
        <w:t>端口可保障关键数据的可靠传输</w:t>
      </w:r>
    </w:p>
    <w:p>
      <w:pPr>
        <w:spacing w:after="0" w:line="94" w:lineRule="exact"/>
        <w:rPr>
          <w:sz w:val="24"/>
          <w:szCs w:val="24"/>
          <w:color w:val="auto"/>
        </w:rPr>
      </w:pPr>
    </w:p>
    <w:p>
      <w:pPr>
        <w:ind w:left="530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>-40~75°C</w:t>
      </w:r>
      <w:r>
        <w:rPr>
          <w:rFonts w:ascii="宋体" w:cs="宋体" w:eastAsia="宋体" w:hAnsi="宋体"/>
          <w:sz w:val="16"/>
          <w:szCs w:val="16"/>
          <w:color w:val="auto"/>
        </w:rPr>
        <w:t>操作温度范围</w:t>
      </w:r>
      <w:r>
        <w:rPr>
          <w:rFonts w:ascii="Arial" w:cs="Arial" w:eastAsia="Arial" w:hAnsi="Arial"/>
          <w:sz w:val="16"/>
          <w:szCs w:val="16"/>
          <w:color w:val="auto"/>
        </w:rPr>
        <w:t>(</w:t>
      </w:r>
      <w:r>
        <w:rPr>
          <w:rFonts w:ascii="宋体" w:cs="宋体" w:eastAsia="宋体" w:hAnsi="宋体"/>
          <w:sz w:val="16"/>
          <w:szCs w:val="16"/>
          <w:color w:val="auto"/>
        </w:rPr>
        <w:t>仅限</w:t>
      </w:r>
      <w:r>
        <w:rPr>
          <w:rFonts w:ascii="Arial" w:cs="Arial" w:eastAsia="Arial" w:hAnsi="Arial"/>
          <w:sz w:val="16"/>
          <w:szCs w:val="16"/>
          <w:color w:val="auto"/>
        </w:rPr>
        <w:t>EKI-5629CI/5626CI</w:t>
      </w:r>
      <w:r>
        <w:rPr>
          <w:rFonts w:ascii="宋体" w:cs="宋体" w:eastAsia="宋体" w:hAnsi="宋体"/>
          <w:sz w:val="16"/>
          <w:szCs w:val="16"/>
          <w:color w:val="auto"/>
        </w:rPr>
        <w:t>型号</w:t>
      </w:r>
      <w:r>
        <w:rPr>
          <w:rFonts w:ascii="Arial" w:cs="Arial" w:eastAsia="Arial" w:hAnsi="Arial"/>
          <w:sz w:val="16"/>
          <w:szCs w:val="16"/>
          <w:color w:val="auto"/>
        </w:rPr>
        <w:t>)</w:t>
      </w:r>
    </w:p>
    <w:p>
      <w:pPr>
        <w:spacing w:after="0" w:line="94" w:lineRule="exact"/>
        <w:rPr>
          <w:sz w:val="24"/>
          <w:szCs w:val="24"/>
          <w:color w:val="auto"/>
        </w:rPr>
      </w:pPr>
    </w:p>
    <w:p>
      <w:pPr>
        <w:ind w:left="530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Arial" w:cs="Arial" w:eastAsia="Arial" w:hAnsi="Arial"/>
          <w:sz w:val="16"/>
          <w:szCs w:val="16"/>
          <w:color w:val="auto"/>
        </w:rPr>
        <w:t>EMS level 3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宋体" w:cs="宋体" w:eastAsia="宋体" w:hAnsi="宋体"/>
          <w:sz w:val="16"/>
          <w:szCs w:val="16"/>
          <w:color w:val="auto"/>
        </w:rPr>
        <w:t>工业标准更适合苛刻环境应用</w:t>
      </w:r>
    </w:p>
    <w:p>
      <w:pPr>
        <w:spacing w:after="0" w:line="94" w:lineRule="exact"/>
        <w:rPr>
          <w:sz w:val="24"/>
          <w:szCs w:val="24"/>
          <w:color w:val="auto"/>
        </w:rPr>
      </w:pPr>
    </w:p>
    <w:p>
      <w:pPr>
        <w:ind w:left="530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Arial" w:cs="Arial" w:eastAsia="Arial" w:hAnsi="Arial"/>
          <w:sz w:val="16"/>
          <w:szCs w:val="16"/>
          <w:color w:val="auto"/>
        </w:rPr>
        <w:t>8.4 ~52.8 VDC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宋体" w:cs="宋体" w:eastAsia="宋体" w:hAnsi="宋体"/>
          <w:sz w:val="16"/>
          <w:szCs w:val="16"/>
          <w:color w:val="auto"/>
        </w:rPr>
        <w:t>宽电压输入</w:t>
      </w:r>
    </w:p>
    <w:p>
      <w:pPr>
        <w:spacing w:after="0" w:line="94" w:lineRule="exact"/>
        <w:rPr>
          <w:sz w:val="24"/>
          <w:szCs w:val="24"/>
          <w:color w:val="auto"/>
        </w:rPr>
      </w:pPr>
    </w:p>
    <w:p>
      <w:pPr>
        <w:ind w:left="530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Arial" w:cs="Arial" w:eastAsia="Arial" w:hAnsi="Arial"/>
          <w:sz w:val="16"/>
          <w:szCs w:val="16"/>
          <w:color w:val="auto"/>
        </w:rPr>
        <w:t>IEEE 802.3az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宋体" w:cs="宋体" w:eastAsia="宋体" w:hAnsi="宋体"/>
          <w:sz w:val="16"/>
          <w:szCs w:val="16"/>
          <w:color w:val="auto"/>
        </w:rPr>
        <w:t>节能标准更加节能环保</w:t>
      </w:r>
    </w:p>
    <w:p>
      <w:pPr>
        <w:spacing w:after="0" w:line="103" w:lineRule="exact"/>
        <w:rPr>
          <w:sz w:val="24"/>
          <w:szCs w:val="24"/>
          <w:color w:val="auto"/>
        </w:rPr>
      </w:pPr>
    </w:p>
    <w:p>
      <w:pPr>
        <w:jc w:val="both"/>
        <w:ind w:left="5300" w:right="1480"/>
        <w:spacing w:after="0" w:line="253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>9,216 Bytes</w:t>
      </w:r>
      <w:r>
        <w:rPr>
          <w:rFonts w:ascii="宋体" w:cs="宋体" w:eastAsia="宋体" w:hAnsi="宋体"/>
          <w:sz w:val="16"/>
          <w:szCs w:val="16"/>
          <w:color w:val="auto"/>
        </w:rPr>
        <w:t>巨帧传输，让数据传输更高效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>12~48V</w:t>
      </w:r>
      <w:r>
        <w:rPr>
          <w:rFonts w:ascii="宋体" w:cs="宋体" w:eastAsia="宋体" w:hAnsi="宋体"/>
          <w:sz w:val="16"/>
          <w:szCs w:val="16"/>
          <w:color w:val="auto"/>
        </w:rPr>
        <w:t>冗余直流电源输入及</w:t>
      </w:r>
      <w:r>
        <w:rPr>
          <w:rFonts w:ascii="Arial" w:cs="Arial" w:eastAsia="Arial" w:hAnsi="Arial"/>
          <w:sz w:val="16"/>
          <w:szCs w:val="16"/>
          <w:color w:val="auto"/>
        </w:rPr>
        <w:t>P-Fail</w:t>
      </w:r>
      <w:r>
        <w:rPr>
          <w:rFonts w:ascii="宋体" w:cs="宋体" w:eastAsia="宋体" w:hAnsi="宋体"/>
          <w:sz w:val="16"/>
          <w:szCs w:val="16"/>
          <w:color w:val="auto"/>
        </w:rPr>
        <w:t>继电器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环路故障自动诊断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1510030</wp:posOffset>
            </wp:positionH>
            <wp:positionV relativeFrom="paragraph">
              <wp:posOffset>168275</wp:posOffset>
            </wp:positionV>
            <wp:extent cx="1579880" cy="2489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4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09" w:lineRule="exact"/>
        <w:rPr>
          <w:sz w:val="24"/>
          <w:szCs w:val="24"/>
          <w:color w:val="auto"/>
        </w:rPr>
      </w:pPr>
    </w:p>
    <w:p>
      <w:pPr>
        <w:ind w:left="296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8"/>
          <w:szCs w:val="8"/>
          <w:b w:val="1"/>
          <w:bCs w:val="1"/>
          <w:color w:val="404040"/>
        </w:rPr>
        <w:t>RoHS</w:t>
      </w:r>
    </w:p>
    <w:p>
      <w:pPr>
        <w:ind w:left="2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b w:val="1"/>
          <w:bCs w:val="1"/>
          <w:color w:val="595959"/>
        </w:rPr>
        <w:t>COMPLIANT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color w:val="auto"/>
        </w:rPr>
        <w:t>2002/95/EC</w:t>
      </w:r>
    </w:p>
    <w:p>
      <w:pPr>
        <w:spacing w:after="0" w:line="113" w:lineRule="exact"/>
        <w:rPr>
          <w:sz w:val="24"/>
          <w:szCs w:val="24"/>
          <w:color w:val="auto"/>
        </w:rPr>
      </w:pPr>
    </w:p>
    <w:p>
      <w:pPr>
        <w:ind w:left="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介绍</w:t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jc w:val="both"/>
        <w:ind w:left="20"/>
        <w:spacing w:after="0" w:line="198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EKI-5629C/CI</w:t>
      </w:r>
      <w:r>
        <w:rPr>
          <w:rFonts w:ascii="宋体" w:cs="宋体" w:eastAsia="宋体" w:hAnsi="宋体"/>
          <w:sz w:val="16"/>
          <w:szCs w:val="16"/>
          <w:color w:val="auto"/>
        </w:rPr>
        <w:t>及</w:t>
      </w:r>
      <w:r>
        <w:rPr>
          <w:rFonts w:ascii="Helvetica" w:cs="Helvetica" w:eastAsia="Helvetica" w:hAnsi="Helvetica"/>
          <w:sz w:val="16"/>
          <w:szCs w:val="16"/>
          <w:color w:val="auto"/>
        </w:rPr>
        <w:t>EKI-5626C/CI</w:t>
      </w:r>
      <w:r>
        <w:rPr>
          <w:rFonts w:ascii="宋体" w:cs="宋体" w:eastAsia="宋体" w:hAnsi="宋体"/>
          <w:sz w:val="16"/>
          <w:szCs w:val="16"/>
          <w:color w:val="auto"/>
        </w:rPr>
        <w:t>是全球首款兼备工控与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IT </w:t>
      </w:r>
      <w:r>
        <w:rPr>
          <w:rFonts w:ascii="宋体" w:cs="宋体" w:eastAsia="宋体" w:hAnsi="宋体"/>
          <w:sz w:val="16"/>
          <w:szCs w:val="16"/>
          <w:color w:val="auto"/>
        </w:rPr>
        <w:t>双重特质的非管理型工业以太网交换机。其支持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Modbus/TCP </w:t>
      </w:r>
      <w:r>
        <w:rPr>
          <w:rFonts w:ascii="宋体" w:cs="宋体" w:eastAsia="宋体" w:hAnsi="宋体"/>
          <w:sz w:val="16"/>
          <w:szCs w:val="16"/>
          <w:color w:val="auto"/>
        </w:rPr>
        <w:t>及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SNMP </w:t>
      </w:r>
      <w:r>
        <w:rPr>
          <w:rFonts w:ascii="宋体" w:cs="宋体" w:eastAsia="宋体" w:hAnsi="宋体"/>
          <w:sz w:val="16"/>
          <w:szCs w:val="16"/>
          <w:color w:val="auto"/>
        </w:rPr>
        <w:t>协议，可无缝连接</w:t>
      </w:r>
      <w:r>
        <w:rPr>
          <w:rFonts w:ascii="Helvetica" w:cs="Helvetica" w:eastAsia="Helvetica" w:hAnsi="Helvetica"/>
          <w:sz w:val="16"/>
          <w:szCs w:val="16"/>
          <w:color w:val="auto"/>
        </w:rPr>
        <w:t>SCADA</w:t>
      </w:r>
      <w:r>
        <w:rPr>
          <w:rFonts w:ascii="宋体" w:cs="宋体" w:eastAsia="宋体" w:hAnsi="宋体"/>
          <w:sz w:val="16"/>
          <w:szCs w:val="16"/>
          <w:color w:val="auto"/>
        </w:rPr>
        <w:t>系统及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IT </w:t>
      </w:r>
      <w:r>
        <w:rPr>
          <w:rFonts w:ascii="宋体" w:cs="宋体" w:eastAsia="宋体" w:hAnsi="宋体"/>
          <w:sz w:val="16"/>
          <w:szCs w:val="16"/>
          <w:color w:val="auto"/>
        </w:rPr>
        <w:t>网管软件，该款产品符合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IEEE 802.1p QoS- VIP </w:t>
      </w:r>
      <w:r>
        <w:rPr>
          <w:rFonts w:ascii="宋体" w:cs="宋体" w:eastAsia="宋体" w:hAnsi="宋体"/>
          <w:sz w:val="16"/>
          <w:szCs w:val="16"/>
          <w:color w:val="auto"/>
        </w:rPr>
        <w:t>端口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- </w:t>
      </w:r>
      <w:r>
        <w:rPr>
          <w:rFonts w:ascii="宋体" w:cs="宋体" w:eastAsia="宋体" w:hAnsi="宋体"/>
          <w:sz w:val="16"/>
          <w:szCs w:val="16"/>
          <w:color w:val="auto"/>
        </w:rPr>
        <w:t>确保关键数据的可靠传送。此外，其拥有专用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VIP </w:t>
      </w:r>
      <w:r>
        <w:rPr>
          <w:rFonts w:ascii="宋体" w:cs="宋体" w:eastAsia="宋体" w:hAnsi="宋体"/>
          <w:sz w:val="16"/>
          <w:szCs w:val="16"/>
          <w:color w:val="auto"/>
        </w:rPr>
        <w:t>端口、自动环路故障检测、智能节能、智能故障诊断及支持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9,216 byte </w:t>
      </w:r>
      <w:r>
        <w:rPr>
          <w:rFonts w:ascii="宋体" w:cs="宋体" w:eastAsia="宋体" w:hAnsi="宋体"/>
          <w:sz w:val="16"/>
          <w:szCs w:val="16"/>
          <w:color w:val="auto"/>
        </w:rPr>
        <w:t>巨型帧高效传输，支持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8.4 ~ 52.8VDC </w:t>
      </w:r>
      <w:r>
        <w:rPr>
          <w:rFonts w:ascii="宋体" w:cs="宋体" w:eastAsia="宋体" w:hAnsi="宋体"/>
          <w:sz w:val="16"/>
          <w:szCs w:val="16"/>
          <w:color w:val="auto"/>
        </w:rPr>
        <w:t>冗余电源输入及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-40~75°C </w:t>
      </w:r>
      <w:r>
        <w:rPr>
          <w:rFonts w:ascii="宋体" w:cs="宋体" w:eastAsia="宋体" w:hAnsi="宋体"/>
          <w:sz w:val="16"/>
          <w:szCs w:val="16"/>
          <w:color w:val="auto"/>
        </w:rPr>
        <w:t>宽工作温度范围，保障严苛环境中的稳健运行，以抵御工业电阻的电磁接口。</w:t>
      </w:r>
    </w:p>
    <w:p>
      <w:pPr>
        <w:sectPr>
          <w:pgSz w:w="12240" w:h="15930" w:orient="portrait"/>
          <w:cols w:equalWidth="0" w:num="1">
            <w:col w:w="9980"/>
          </w:cols>
          <w:pgMar w:left="1120" w:top="443" w:right="1140" w:bottom="0" w:gutter="0" w:footer="0" w:header="0"/>
          <w:type w:val="continuous"/>
        </w:sectPr>
      </w:pP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ind w:left="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规格</w:t>
      </w: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通信</w:t>
      </w:r>
    </w:p>
    <w:p>
      <w:pPr>
        <w:spacing w:after="0" w:line="1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80" w:type="dxa"/>
            <w:vAlign w:val="bottom"/>
          </w:tcPr>
          <w:p>
            <w:pPr>
              <w:ind w:left="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标准</w:t>
            </w:r>
          </w:p>
        </w:tc>
        <w:tc>
          <w:tcPr>
            <w:tcW w:w="354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IEEE 802.3, 802.3u, 802.3x, 802.1p, 802.3az , 802.3ab</w:t>
            </w:r>
          </w:p>
        </w:tc>
      </w:tr>
      <w:tr>
        <w:trPr>
          <w:trHeight w:val="174"/>
        </w:trPr>
        <w:tc>
          <w:tcPr>
            <w:tcW w:w="140" w:type="dxa"/>
            <w:vAlign w:val="bottom"/>
          </w:tcPr>
          <w:p>
            <w:pPr>
              <w:ind w:left="20"/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80" w:type="dxa"/>
            <w:vAlign w:val="bottom"/>
          </w:tcPr>
          <w:p>
            <w:pPr>
              <w:ind w:left="4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LAN</w:t>
            </w:r>
          </w:p>
        </w:tc>
        <w:tc>
          <w:tcPr>
            <w:tcW w:w="3540" w:type="dxa"/>
            <w:vAlign w:val="bottom"/>
          </w:tcPr>
          <w:p>
            <w:pPr>
              <w:ind w:left="46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>10/100/1000Base-T(X), Optional 100Base-FX,</w:t>
            </w:r>
          </w:p>
        </w:tc>
      </w:tr>
      <w:tr>
        <w:trPr>
          <w:trHeight w:val="173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460"/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1000Base-SX/LX/LHX/XD/ZX/EZX</w:t>
            </w:r>
          </w:p>
        </w:tc>
      </w:tr>
      <w:tr>
        <w:trPr>
          <w:trHeight w:val="167"/>
        </w:trPr>
        <w:tc>
          <w:tcPr>
            <w:tcW w:w="1320" w:type="dxa"/>
            <w:vAlign w:val="bottom"/>
            <w:gridSpan w:val="2"/>
          </w:tcPr>
          <w:p>
            <w:pPr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传输距离</w:t>
            </w:r>
          </w:p>
        </w:tc>
        <w:tc>
          <w:tcPr>
            <w:tcW w:w="3540" w:type="dxa"/>
            <w:vAlign w:val="bottom"/>
          </w:tcPr>
          <w:p>
            <w:pPr>
              <w:ind w:left="4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Ethernet: UP to 100m (4-wire Cat.5e, Cat.6 RJ-45 cable</w:t>
            </w:r>
          </w:p>
        </w:tc>
      </w:tr>
      <w:tr>
        <w:trPr>
          <w:trHeight w:val="17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4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suggested for Gigabit port)</w:t>
            </w:r>
          </w:p>
        </w:tc>
      </w:tr>
      <w:tr>
        <w:trPr>
          <w:trHeight w:val="17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4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SFP: UP to 110km (depends on SFP)</w:t>
            </w:r>
          </w:p>
        </w:tc>
      </w:tr>
      <w:tr>
        <w:trPr>
          <w:trHeight w:val="170"/>
        </w:trPr>
        <w:tc>
          <w:tcPr>
            <w:tcW w:w="140" w:type="dxa"/>
            <w:vAlign w:val="bottom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80" w:type="dxa"/>
            <w:vAlign w:val="bottom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传输速度</w:t>
            </w:r>
          </w:p>
        </w:tc>
        <w:tc>
          <w:tcPr>
            <w:tcW w:w="3540" w:type="dxa"/>
            <w:vAlign w:val="bottom"/>
          </w:tcPr>
          <w:p>
            <w:pPr>
              <w:ind w:left="4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Ethernet: 10/100Mbps Auto-Negotiation</w:t>
            </w:r>
          </w:p>
        </w:tc>
      </w:tr>
      <w:tr>
        <w:trPr>
          <w:trHeight w:val="17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4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2"/>
              </w:rPr>
              <w:t>Gigabit Copper: 10/100/1000Mbps, Auto-Negotiation</w:t>
            </w:r>
          </w:p>
        </w:tc>
      </w:tr>
      <w:tr>
        <w:trPr>
          <w:trHeight w:val="183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Gigabit Fiber: UP to 1000Mbps</w:t>
            </w:r>
          </w:p>
        </w:tc>
      </w:tr>
    </w:tbl>
    <w:p>
      <w:pPr>
        <w:spacing w:after="0" w:line="129" w:lineRule="exact"/>
        <w:rPr>
          <w:sz w:val="24"/>
          <w:szCs w:val="24"/>
          <w:color w:val="auto"/>
        </w:r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接口</w:t>
      </w:r>
    </w:p>
    <w:p>
      <w:pPr>
        <w:spacing w:after="0" w:line="21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300" w:type="dxa"/>
            <w:vAlign w:val="bottom"/>
          </w:tcPr>
          <w:p>
            <w:pPr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连接器</w:t>
            </w:r>
          </w:p>
        </w:tc>
        <w:tc>
          <w:tcPr>
            <w:tcW w:w="346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EKI-5629CI: 8 x Fast Ethernet (RJ45) + 2 x Giga (RJ45/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60" w:type="dxa"/>
            <w:vAlign w:val="bottom"/>
          </w:tcPr>
          <w:p>
            <w:pPr>
              <w:ind w:left="4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SFP) combo ports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60" w:type="dxa"/>
            <w:vAlign w:val="bottom"/>
          </w:tcPr>
          <w:p>
            <w:pPr>
              <w:ind w:left="4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7"/>
              </w:rPr>
              <w:t>EKI-5626CI:16 x Fast Ethernet (RJ45) + 2 x Giga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60" w:type="dxa"/>
            <w:vAlign w:val="bottom"/>
          </w:tcPr>
          <w:p>
            <w:pPr>
              <w:ind w:left="4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(RJ45/SFP) combo ports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300" w:type="dxa"/>
            <w:vAlign w:val="bottom"/>
            <w:vMerge w:val="restart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LED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指示灯</w:t>
            </w:r>
          </w:p>
        </w:tc>
        <w:tc>
          <w:tcPr>
            <w:tcW w:w="3460" w:type="dxa"/>
            <w:vAlign w:val="bottom"/>
          </w:tcPr>
          <w:p>
            <w:pPr>
              <w:ind w:left="4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0"/>
              </w:rPr>
              <w:t>6-pin removable screw terminal (power &amp; relay)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60" w:type="dxa"/>
            <w:vAlign w:val="bottom"/>
          </w:tcPr>
          <w:p>
            <w:pPr>
              <w:ind w:left="4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P1, P2, P-Fail, Loop detection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60" w:type="dxa"/>
            <w:vAlign w:val="bottom"/>
          </w:tcPr>
          <w:p>
            <w:pPr>
              <w:ind w:left="4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10/100T(X): Link/Activity, Speed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60" w:type="dxa"/>
            <w:vAlign w:val="bottom"/>
          </w:tcPr>
          <w:p>
            <w:pPr>
              <w:ind w:left="4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>Gigabit Copper: Link/Activity, Speed (1000 Mbps)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6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SFP: Lin k/Activity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29" w:lineRule="exact"/>
        <w:rPr>
          <w:sz w:val="24"/>
          <w:szCs w:val="24"/>
          <w:color w:val="auto"/>
        </w:r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开关属性</w:t>
      </w:r>
    </w:p>
    <w:p>
      <w:pPr>
        <w:spacing w:after="0" w:line="19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1440" w:type="dxa"/>
            <w:vAlign w:val="bottom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MAC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面板尺寸</w:t>
            </w:r>
          </w:p>
        </w:tc>
        <w:tc>
          <w:tcPr>
            <w:tcW w:w="154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40" w:type="dxa"/>
            <w:vAlign w:val="bottom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数据包缓存</w:t>
            </w:r>
          </w:p>
        </w:tc>
        <w:tc>
          <w:tcPr>
            <w:tcW w:w="1540" w:type="dxa"/>
            <w:vAlign w:val="bottom"/>
          </w:tcPr>
          <w:p>
            <w:pPr>
              <w:ind w:left="3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4.1M bit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40" w:type="dxa"/>
            <w:vAlign w:val="bottom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开关容量</w:t>
            </w:r>
          </w:p>
        </w:tc>
        <w:tc>
          <w:tcPr>
            <w:tcW w:w="1540" w:type="dxa"/>
            <w:vAlign w:val="bottom"/>
          </w:tcPr>
          <w:p>
            <w:pPr>
              <w:ind w:left="3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EKI-5629CI: 5.6 Gbps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Jumbo Frame</w:t>
            </w:r>
          </w:p>
        </w:tc>
        <w:tc>
          <w:tcPr>
            <w:tcW w:w="1540" w:type="dxa"/>
            <w:vAlign w:val="bottom"/>
          </w:tcPr>
          <w:p>
            <w:pPr>
              <w:ind w:left="3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EKI-5626CI: 7.2 Gbps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9216 bytes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25" w:lineRule="exact"/>
        <w:rPr>
          <w:sz w:val="24"/>
          <w:szCs w:val="24"/>
          <w:color w:val="auto"/>
        </w:r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电源</w:t>
      </w:r>
    </w:p>
    <w:p>
      <w:pPr>
        <w:spacing w:after="0" w:line="21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280" w:type="dxa"/>
            <w:vAlign w:val="bottom"/>
          </w:tcPr>
          <w:p>
            <w:pPr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电力消耗</w:t>
            </w:r>
          </w:p>
        </w:tc>
        <w:tc>
          <w:tcPr>
            <w:tcW w:w="332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EKI-5629CI: 5.8W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ind w:left="4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EKI-5626CI: 8.2W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280" w:type="dxa"/>
            <w:vAlign w:val="bottom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电源输入</w:t>
            </w:r>
          </w:p>
        </w:tc>
        <w:tc>
          <w:tcPr>
            <w:tcW w:w="3320" w:type="dxa"/>
            <w:vAlign w:val="bottom"/>
          </w:tcPr>
          <w:p>
            <w:pPr>
              <w:ind w:left="4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12 ~ 48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78"/>
              </w:rPr>
              <w:t>DC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 xml:space="preserve"> (8.4 ~ 52.8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78"/>
              </w:rPr>
              <w:t>DC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), redundant dual inputs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280" w:type="dxa"/>
            <w:vAlign w:val="bottom"/>
            <w:vMerge w:val="restart"/>
          </w:tcPr>
          <w:p>
            <w:pPr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故障输出</w:t>
            </w:r>
          </w:p>
        </w:tc>
        <w:tc>
          <w:tcPr>
            <w:tcW w:w="332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 Relay Output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401320</wp:posOffset>
            </wp:positionV>
            <wp:extent cx="824230" cy="2406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7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机构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20"/>
        <w:spacing w:after="0" w:line="194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尺寸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(W x H x D)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74 x 120 x 84 mm</w:t>
      </w:r>
    </w:p>
    <w:p>
      <w:pPr>
        <w:spacing w:after="0" w:line="164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外壳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IP30, metal shell with solid mounting kits</w:t>
      </w:r>
    </w:p>
    <w:p>
      <w:pPr>
        <w:spacing w:after="0" w:line="192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安装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DIN-Rail, Wall</w:t>
      </w:r>
    </w:p>
    <w:p>
      <w:pPr>
        <w:spacing w:after="0" w:line="127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保护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spacing w:after="0" w:line="192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反极性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Present</w:t>
      </w:r>
    </w:p>
    <w:p>
      <w:pPr>
        <w:spacing w:after="0" w:line="189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过载电流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Present</w:t>
      </w:r>
    </w:p>
    <w:p>
      <w:pPr>
        <w:spacing w:after="0" w:line="127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环境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spacing w:after="0" w:line="192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操作温度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3"/>
          <w:szCs w:val="13"/>
          <w:color w:val="auto"/>
        </w:rPr>
        <w:t>-40 ~ 75°C (-40 ~ 167°F)</w:t>
      </w:r>
    </w:p>
    <w:p>
      <w:pPr>
        <w:spacing w:after="0" w:line="167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储存温度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3"/>
          <w:szCs w:val="13"/>
          <w:color w:val="auto"/>
        </w:rPr>
        <w:t>-40 ~ 85°C (-40 ~ 185°F)</w:t>
      </w:r>
    </w:p>
    <w:p>
      <w:pPr>
        <w:spacing w:after="0" w:line="170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操作湿度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10 ~ 95% (non-condensing)</w:t>
      </w:r>
    </w:p>
    <w:p>
      <w:pPr>
        <w:spacing w:after="0" w:line="167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储存湿度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10 ~ 95% (non-condensing)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MTBF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EKI-5629CI: 3,183,604 hours</w:t>
      </w:r>
    </w:p>
    <w:p>
      <w:pPr>
        <w:jc w:val="right"/>
        <w:ind w:right="14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EKI-5626CI: 2,825,281 hours</w:t>
      </w:r>
    </w:p>
    <w:p>
      <w:pPr>
        <w:spacing w:after="0" w:line="72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认证</w:t>
      </w:r>
    </w:p>
    <w:p>
      <w:pPr>
        <w:spacing w:after="0" w:line="1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4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安全</w:t>
            </w:r>
          </w:p>
        </w:tc>
        <w:tc>
          <w:tcPr>
            <w:tcW w:w="232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UL508, Class 1 Division 2, ATEX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20" w:type="dxa"/>
            <w:vAlign w:val="bottom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40" w:type="dxa"/>
            <w:vAlign w:val="bottom"/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EMI</w:t>
            </w:r>
          </w:p>
        </w:tc>
        <w:tc>
          <w:tcPr>
            <w:tcW w:w="2320" w:type="dxa"/>
            <w:vAlign w:val="bottom"/>
          </w:tcPr>
          <w:p>
            <w:pPr>
              <w:ind w:left="5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CE/FCC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20" w:type="dxa"/>
            <w:vAlign w:val="bottom"/>
          </w:tcPr>
          <w:p>
            <w:pPr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40" w:type="dxa"/>
            <w:vAlign w:val="bottom"/>
          </w:tcPr>
          <w:p>
            <w:pPr>
              <w:ind w:left="6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EMS</w:t>
            </w:r>
          </w:p>
        </w:tc>
        <w:tc>
          <w:tcPr>
            <w:tcW w:w="2320" w:type="dxa"/>
            <w:vAlign w:val="bottom"/>
          </w:tcPr>
          <w:p>
            <w:pPr>
              <w:ind w:left="50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61000-4-2 (Level 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ind w:left="5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61000-4-3 (Level 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ind w:left="5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61000-4-4 (Level 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ind w:left="5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61000-4-5 (Level 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ind w:left="5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61000-4-6 (Level 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260" w:type="dxa"/>
            <w:vAlign w:val="bottom"/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Shock</w:t>
            </w:r>
          </w:p>
        </w:tc>
        <w:tc>
          <w:tcPr>
            <w:tcW w:w="2320" w:type="dxa"/>
            <w:vAlign w:val="bottom"/>
          </w:tcPr>
          <w:p>
            <w:pPr>
              <w:ind w:left="5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61000-4-8 (Level 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ind w:left="500"/>
              <w:spacing w:after="0" w:line="16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IEC 60068-2-27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260" w:type="dxa"/>
            <w:vAlign w:val="bottom"/>
            <w:gridSpan w:val="2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Freefall</w:t>
            </w:r>
          </w:p>
        </w:tc>
        <w:tc>
          <w:tcPr>
            <w:tcW w:w="2320" w:type="dxa"/>
            <w:vAlign w:val="bottom"/>
          </w:tcPr>
          <w:p>
            <w:pPr>
              <w:ind w:left="5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IEC 60068-2-32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260" w:type="dxa"/>
            <w:vAlign w:val="bottom"/>
            <w:gridSpan w:val="2"/>
          </w:tcPr>
          <w:p>
            <w:pPr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Vibration</w:t>
            </w:r>
          </w:p>
        </w:tc>
        <w:tc>
          <w:tcPr>
            <w:tcW w:w="232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IEC 60068-2-6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69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订购信息</w:t>
      </w:r>
    </w:p>
    <w:p>
      <w:pPr>
        <w:spacing w:after="0" w:line="2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EKI-5629CI-AE</w:t>
            </w:r>
          </w:p>
        </w:tc>
        <w:tc>
          <w:tcPr>
            <w:tcW w:w="340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8FE + 2GE Combo Ethernet ProView Switch with Wide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EKI-5626CI-AE</w:t>
            </w:r>
          </w:p>
        </w:tc>
        <w:tc>
          <w:tcPr>
            <w:tcW w:w="3400" w:type="dxa"/>
            <w:vAlign w:val="bottom"/>
          </w:tcPr>
          <w:p>
            <w:pPr>
              <w:ind w:left="3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Temperature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ind w:left="3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16FE + 2GE Combo Ethernet ProView Switch with Wide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Temperature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-2434590</wp:posOffset>
                </wp:positionH>
                <wp:positionV relativeFrom="paragraph">
                  <wp:posOffset>341630</wp:posOffset>
                </wp:positionV>
                <wp:extent cx="5511800" cy="16510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165100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-191.6999pt;margin-top:26.9pt;width:434pt;height:1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860" w:space="280"/>
            <w:col w:w="4840"/>
          </w:cols>
          <w:pgMar w:left="1120" w:top="443" w:right="1140" w:bottom="0" w:gutter="0" w:footer="0" w:header="0"/>
          <w:type w:val="continuous"/>
        </w:sectPr>
      </w:pPr>
    </w:p>
    <w:p>
      <w:pPr>
        <w:spacing w:after="0" w:line="369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b w:val="1"/>
          <w:bCs w:val="1"/>
          <w:color w:val="FFFFFF"/>
        </w:rPr>
        <w:t>Industrial Communication</w:t>
      </w:r>
    </w:p>
    <w:p>
      <w:pPr>
        <w:sectPr>
          <w:pgSz w:w="12240" w:h="15930" w:orient="portrait"/>
          <w:cols w:equalWidth="0" w:num="1">
            <w:col w:w="9980"/>
          </w:cols>
          <w:pgMar w:left="1120" w:top="443" w:right="1140" w:bottom="0" w:gutter="0" w:footer="0" w:header="0"/>
          <w:type w:val="continuous"/>
        </w:sectPr>
      </w:pP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ind w:left="20"/>
        <w:spacing w:after="0"/>
        <w:tabs>
          <w:tab w:leader="none" w:pos="868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updated: 5-Mar-2018</w:t>
      </w:r>
    </w:p>
    <w:p>
      <w:pPr>
        <w:sectPr>
          <w:pgSz w:w="12240" w:h="15930" w:orient="portrait"/>
          <w:cols w:equalWidth="0" w:num="1">
            <w:col w:w="9980"/>
          </w:cols>
          <w:pgMar w:left="1120" w:top="443" w:right="1140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176" w:lineRule="exact"/>
        <w:rPr>
          <w:sz w:val="20"/>
          <w:szCs w:val="20"/>
          <w:color w:val="auto"/>
        </w:rPr>
      </w:pPr>
    </w:p>
    <w:p>
      <w:pPr>
        <w:ind w:left="68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EKI-5629CI &amp; EKI-5626CI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130175</wp:posOffset>
                </wp:positionV>
                <wp:extent cx="633222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.2999pt,10.25pt" to="486.3pt,10.2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6169660</wp:posOffset>
                </wp:positionH>
                <wp:positionV relativeFrom="paragraph">
                  <wp:posOffset>238125</wp:posOffset>
                </wp:positionV>
                <wp:extent cx="0" cy="784796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847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5.8pt,18.75pt" to="485.8pt,636.7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244475</wp:posOffset>
                </wp:positionV>
                <wp:extent cx="633222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.2999pt,19.25pt" to="486.3pt,19.2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238125</wp:posOffset>
                </wp:positionV>
                <wp:extent cx="0" cy="784796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847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.7999pt,18.75pt" to="-11.7999pt,636.7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8079740</wp:posOffset>
                </wp:positionV>
                <wp:extent cx="6332220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.2999pt,636.2pt" to="486.3pt,636.2pt" o:allowincell="f" strokecolor="#000000" strokeweight="1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740"/>
          </w:cols>
          <w:pgMar w:left="1380" w:top="1440" w:right="112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spacing w:after="0" w:line="30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7"/>
          <w:szCs w:val="27"/>
          <w:b w:val="1"/>
          <w:bCs w:val="1"/>
          <w:color w:val="00044C"/>
        </w:rPr>
        <w:t>结构图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EKI-5629CI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680"/>
        </w:trPr>
        <w:tc>
          <w:tcPr>
            <w:tcW w:w="236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"/>
                <w:szCs w:val="3"/>
                <w:color w:val="auto"/>
              </w:rPr>
              <w:t>11.1 [0.439]</w:t>
            </w:r>
            <w:r>
              <w:rPr>
                <w:sz w:val="1"/>
                <w:szCs w:val="1"/>
                <w:color w:val="auto"/>
              </w:rPr>
              <w:drawing>
                <wp:inline distT="0" distB="0" distL="0" distR="0">
                  <wp:extent cx="146050" cy="1752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drawing>
                <wp:inline distT="0" distB="0" distL="0" distR="0">
                  <wp:extent cx="6350" cy="9715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460" w:type="dxa"/>
            <w:vAlign w:val="bottom"/>
            <w:vMerge w:val="restart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33.4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35.6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0" w:type="dxa"/>
            <w:vAlign w:val="bottom"/>
          </w:tcPr>
          <w:p>
            <w:pPr>
              <w:ind w:left="4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Unit: mm [inch]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460" w:type="dxa"/>
            <w:vAlign w:val="bottom"/>
          </w:tcPr>
          <w:p>
            <w:pPr>
              <w:jc w:val="right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8"/>
              </w:rPr>
              <w:t>[1.315]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[1.400]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-189230</wp:posOffset>
            </wp:positionV>
            <wp:extent cx="333375" cy="317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549275</wp:posOffset>
            </wp:positionH>
            <wp:positionV relativeFrom="paragraph">
              <wp:posOffset>-189230</wp:posOffset>
            </wp:positionV>
            <wp:extent cx="46990" cy="317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-170180</wp:posOffset>
            </wp:positionH>
            <wp:positionV relativeFrom="paragraph">
              <wp:posOffset>-88900</wp:posOffset>
            </wp:positionV>
            <wp:extent cx="972820" cy="64960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3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3">
            <w:col w:w="2197" w:space="720"/>
            <w:col w:w="236" w:space="7"/>
            <w:col w:w="6580"/>
          </w:cols>
          <w:pgMar w:left="1380" w:top="1440" w:right="112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jc w:val="center"/>
        <w:ind w:left="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15</w:t>
      </w:r>
    </w:p>
    <w:p>
      <w:pPr>
        <w:jc w:val="center"/>
        <w:ind w:left="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[0.591]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458470</wp:posOffset>
            </wp:positionH>
            <wp:positionV relativeFrom="paragraph">
              <wp:posOffset>-3810</wp:posOffset>
            </wp:positionV>
            <wp:extent cx="972820" cy="13855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2" w:lineRule="exact"/>
        <w:rPr>
          <w:sz w:val="20"/>
          <w:szCs w:val="20"/>
          <w:color w:val="auto"/>
        </w:rPr>
      </w:pPr>
    </w:p>
    <w:tbl>
      <w:tblPr>
        <w:tblLayout w:type="fixed"/>
        <w:tblInd w:w="7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9"/>
        </w:trPr>
        <w:tc>
          <w:tcPr>
            <w:tcW w:w="700" w:type="dxa"/>
            <w:vAlign w:val="bottom"/>
          </w:tcPr>
          <w:p>
            <w:pPr>
              <w:jc w:val="right"/>
              <w:ind w:right="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7"/>
              </w:rPr>
              <w:t>7.6 [0.299]</w:t>
            </w:r>
          </w:p>
        </w:tc>
        <w:tc>
          <w:tcPr>
            <w:tcW w:w="7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51.4 [2.024]</w:t>
            </w:r>
          </w:p>
        </w:tc>
      </w:tr>
      <w:tr>
        <w:trPr>
          <w:trHeight w:val="439"/>
        </w:trPr>
        <w:tc>
          <w:tcPr>
            <w:tcW w:w="700" w:type="dxa"/>
            <w:vAlign w:val="bottom"/>
            <w:textDirection w:val="btLr"/>
          </w:tcPr>
          <w:p>
            <w:pPr>
              <w:ind w:right="29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72"/>
              </w:rPr>
              <w:t>10.9[0.429]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EKI-5626CI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7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00" w:type="dxa"/>
            <w:vAlign w:val="bottom"/>
            <w:gridSpan w:val="2"/>
          </w:tcPr>
          <w:p>
            <w:pPr>
              <w:jc w:val="right"/>
              <w:ind w:righ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84 [3.307]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jc w:val="right"/>
              <w:ind w:right="110"/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30.9</w:t>
            </w:r>
          </w:p>
        </w:tc>
        <w:tc>
          <w:tcPr>
            <w:tcW w:w="700" w:type="dxa"/>
            <w:vAlign w:val="bottom"/>
          </w:tcPr>
          <w:p>
            <w:pPr>
              <w:jc w:val="right"/>
              <w:ind w:right="110"/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12.5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[1.215]</w:t>
            </w:r>
          </w:p>
        </w:tc>
        <w:tc>
          <w:tcPr>
            <w:tcW w:w="7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[0.492]</w:t>
            </w:r>
          </w:p>
        </w:tc>
        <w:tc>
          <w:tcPr>
            <w:tcW w:w="860" w:type="dxa"/>
            <w:vAlign w:val="bottom"/>
            <w:vMerge w:val="restart"/>
          </w:tcPr>
          <w:p>
            <w:pPr>
              <w:jc w:val="right"/>
              <w:ind w:righ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9 [0.354]</w:t>
            </w:r>
          </w:p>
        </w:tc>
        <w:tc>
          <w:tcPr>
            <w:tcW w:w="1820" w:type="dxa"/>
            <w:vAlign w:val="bottom"/>
          </w:tcPr>
          <w:p>
            <w:pPr>
              <w:jc w:val="right"/>
              <w:ind w:right="9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73 [2.874]</w:t>
            </w:r>
          </w:p>
        </w:tc>
        <w:tc>
          <w:tcPr>
            <w:tcW w:w="1700" w:type="dxa"/>
            <w:vAlign w:val="bottom"/>
          </w:tcPr>
          <w:p>
            <w:pPr>
              <w:jc w:val="right"/>
              <w:ind w:right="5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93 [3.661]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4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extDirection w:val="btLr"/>
          </w:tcPr>
          <w:p>
            <w:pPr>
              <w:ind w:right="4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47 [1.850]</w:t>
            </w:r>
          </w:p>
        </w:tc>
        <w:tc>
          <w:tcPr>
            <w:tcW w:w="1820" w:type="dxa"/>
            <w:vAlign w:val="bottom"/>
            <w:textDirection w:val="btLr"/>
          </w:tcPr>
          <w:p>
            <w:pPr>
              <w:ind w:right="3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130 [5.118]</w:t>
            </w:r>
          </w:p>
        </w:tc>
        <w:tc>
          <w:tcPr>
            <w:tcW w:w="170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130 [5.118]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5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extDirection w:val="btLr"/>
          </w:tcPr>
          <w:p>
            <w:pPr>
              <w:ind w:right="4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38 [1.496]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0"/>
        </w:trPr>
        <w:tc>
          <w:tcPr>
            <w:tcW w:w="380" w:type="dxa"/>
            <w:vAlign w:val="bottom"/>
            <w:textDirection w:val="btLr"/>
          </w:tcPr>
          <w:p>
            <w:pPr>
              <w:ind w:right="1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72"/>
              </w:rPr>
              <w:t>711.461][0.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98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16.4 [0.644]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0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33.4</w:t>
            </w:r>
          </w:p>
        </w:tc>
        <w:tc>
          <w:tcPr>
            <w:tcW w:w="700" w:type="dxa"/>
            <w:vAlign w:val="bottom"/>
          </w:tcPr>
          <w:p>
            <w:pPr>
              <w:jc w:val="right"/>
              <w:ind w:right="2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35.6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380" w:type="dxa"/>
            <w:vAlign w:val="bottom"/>
            <w:vMerge w:val="restart"/>
            <w:textDirection w:val="btLr"/>
          </w:tcPr>
          <w:p>
            <w:pPr>
              <w:ind w:righ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1 439]11.[0.</w:t>
            </w:r>
          </w:p>
        </w:tc>
        <w:tc>
          <w:tcPr>
            <w:tcW w:w="6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[1.315]</w:t>
            </w:r>
          </w:p>
        </w:tc>
        <w:tc>
          <w:tcPr>
            <w:tcW w:w="700" w:type="dxa"/>
            <w:vAlign w:val="bottom"/>
          </w:tcPr>
          <w:p>
            <w:pPr>
              <w:jc w:val="right"/>
              <w:ind w:righ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7"/>
              </w:rPr>
              <w:t>[1.400]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2"/>
        </w:trPr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186055</wp:posOffset>
            </wp:positionH>
            <wp:positionV relativeFrom="paragraph">
              <wp:posOffset>-3295650</wp:posOffset>
            </wp:positionV>
            <wp:extent cx="3596005" cy="233553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233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193040</wp:posOffset>
            </wp:positionH>
            <wp:positionV relativeFrom="paragraph">
              <wp:posOffset>-386080</wp:posOffset>
            </wp:positionV>
            <wp:extent cx="913765" cy="73469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2220" w:space="460"/>
            <w:col w:w="7060"/>
          </w:cols>
          <w:pgMar w:left="1380" w:top="1440" w:right="112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jc w:val="center"/>
        <w:ind w:left="10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15</w:t>
      </w:r>
    </w:p>
    <w:p>
      <w:pPr>
        <w:jc w:val="center"/>
        <w:ind w:left="10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[0.591]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706120</wp:posOffset>
            </wp:positionH>
            <wp:positionV relativeFrom="paragraph">
              <wp:posOffset>-5080</wp:posOffset>
            </wp:positionV>
            <wp:extent cx="962025" cy="136652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6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" w:lineRule="exact"/>
        <w:rPr>
          <w:sz w:val="20"/>
          <w:szCs w:val="20"/>
          <w:color w:val="auto"/>
        </w:rPr>
      </w:pPr>
    </w:p>
    <w:tbl>
      <w:tblPr>
        <w:tblLayout w:type="fixed"/>
        <w:tblInd w:w="1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9"/>
        </w:trPr>
        <w:tc>
          <w:tcPr>
            <w:tcW w:w="720" w:type="dxa"/>
            <w:vAlign w:val="bottom"/>
          </w:tcPr>
          <w:p>
            <w:pPr>
              <w:jc w:val="right"/>
              <w:ind w:right="5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7"/>
              </w:rPr>
              <w:t>7.6 [0.299]</w:t>
            </w:r>
          </w:p>
        </w:tc>
        <w:tc>
          <w:tcPr>
            <w:tcW w:w="7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51.4 [2.024]</w:t>
            </w:r>
          </w:p>
        </w:tc>
      </w:tr>
      <w:tr>
        <w:trPr>
          <w:trHeight w:val="441"/>
        </w:trPr>
        <w:tc>
          <w:tcPr>
            <w:tcW w:w="720" w:type="dxa"/>
            <w:vAlign w:val="bottom"/>
            <w:textDirection w:val="btLr"/>
          </w:tcPr>
          <w:p>
            <w:pPr>
              <w:ind w:right="2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72"/>
              </w:rPr>
              <w:t>10.9[0.429]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7"/>
        </w:trPr>
        <w:tc>
          <w:tcPr>
            <w:tcW w:w="1140" w:type="dxa"/>
            <w:vAlign w:val="bottom"/>
            <w:gridSpan w:val="2"/>
          </w:tcPr>
          <w:p>
            <w:pPr>
              <w:jc w:val="right"/>
              <w:ind w:right="2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84 [3.307]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520" w:type="dxa"/>
            <w:vAlign w:val="bottom"/>
          </w:tcPr>
          <w:p>
            <w:pPr>
              <w:jc w:val="right"/>
              <w:ind w:right="130"/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30.9</w:t>
            </w:r>
          </w:p>
        </w:tc>
        <w:tc>
          <w:tcPr>
            <w:tcW w:w="620" w:type="dxa"/>
            <w:vAlign w:val="bottom"/>
          </w:tcPr>
          <w:p>
            <w:pPr>
              <w:jc w:val="right"/>
              <w:ind w:right="90"/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12.5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520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8"/>
              </w:rPr>
              <w:t>[1.215]</w:t>
            </w:r>
          </w:p>
        </w:tc>
        <w:tc>
          <w:tcPr>
            <w:tcW w:w="620" w:type="dxa"/>
            <w:vAlign w:val="bottom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[0.492]</w:t>
            </w:r>
          </w:p>
        </w:tc>
        <w:tc>
          <w:tcPr>
            <w:tcW w:w="860" w:type="dxa"/>
            <w:vAlign w:val="bottom"/>
            <w:vMerge w:val="restart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9 [0.354]</w:t>
            </w:r>
          </w:p>
        </w:tc>
        <w:tc>
          <w:tcPr>
            <w:tcW w:w="1760" w:type="dxa"/>
            <w:vAlign w:val="bottom"/>
          </w:tcPr>
          <w:p>
            <w:pPr>
              <w:jc w:val="right"/>
              <w:ind w:right="8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73 [2.874]</w:t>
            </w:r>
          </w:p>
        </w:tc>
        <w:tc>
          <w:tcPr>
            <w:tcW w:w="1620" w:type="dxa"/>
            <w:vAlign w:val="bottom"/>
          </w:tcPr>
          <w:p>
            <w:pPr>
              <w:jc w:val="right"/>
              <w:ind w:right="5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93 [3.661]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8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extDirection w:val="btLr"/>
          </w:tcPr>
          <w:p>
            <w:pPr>
              <w:ind w:right="3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47 [1.850]</w:t>
            </w:r>
          </w:p>
        </w:tc>
        <w:tc>
          <w:tcPr>
            <w:tcW w:w="1760" w:type="dxa"/>
            <w:vAlign w:val="bottom"/>
            <w:textDirection w:val="btLr"/>
          </w:tcPr>
          <w:p>
            <w:pPr>
              <w:ind w:right="2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130 [5.118]</w:t>
            </w:r>
          </w:p>
        </w:tc>
        <w:tc>
          <w:tcPr>
            <w:tcW w:w="1620" w:type="dxa"/>
            <w:vAlign w:val="bottom"/>
            <w:textDirection w:val="btLr"/>
          </w:tcPr>
          <w:p>
            <w:pPr>
              <w:spacing w:after="0" w:line="204" w:lineRule="auto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130 [5.118]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5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extDirection w:val="btLr"/>
          </w:tcPr>
          <w:p>
            <w:pPr>
              <w:ind w:right="3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38 [1.496]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-27940</wp:posOffset>
            </wp:positionH>
            <wp:positionV relativeFrom="paragraph">
              <wp:posOffset>-1428115</wp:posOffset>
            </wp:positionV>
            <wp:extent cx="3377565" cy="211518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2640" w:space="600"/>
            <w:col w:w="6500"/>
          </w:cols>
          <w:pgMar w:left="1380" w:top="1440" w:right="112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tbl>
      <w:tblPr>
        <w:tblLayout w:type="fixed"/>
        <w:tblInd w:w="2705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0"/>
        </w:trPr>
        <w:tc>
          <w:tcPr>
            <w:tcW w:w="338" w:type="dxa"/>
            <w:vAlign w:val="bottom"/>
            <w:textDirection w:val="btLr"/>
          </w:tcPr>
          <w:p>
            <w:pPr>
              <w:ind w:hanging="75"/>
              <w:spacing w:after="0" w:line="294" w:lineRule="auto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461][0. 711.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696595</wp:posOffset>
                </wp:positionV>
                <wp:extent cx="6331585" cy="16510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5100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-12.2499pt;margin-top:54.85pt;width:498.55pt;height:1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708660</wp:posOffset>
                </wp:positionV>
                <wp:extent cx="1560195" cy="13970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338.25pt;margin-top:55.8pt;width:122.8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2009775</wp:posOffset>
            </wp:positionH>
            <wp:positionV relativeFrom="paragraph">
              <wp:posOffset>-201295</wp:posOffset>
            </wp:positionV>
            <wp:extent cx="796290" cy="23749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0" w:num="1">
            <w:col w:w="9740"/>
          </w:cols>
          <w:pgMar w:left="1380" w:top="1440" w:right="112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ind w:left="55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740"/>
      </w:cols>
      <w:pgMar w:left="1380" w:top="1440" w:right="112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2019-11-18T15:59:53Z</dcterms:created>
  <dcterms:modified xsi:type="dcterms:W3CDTF">2019-11-18T15:59:53Z</dcterms:modified>
</cp:coreProperties>
</file>