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140970</wp:posOffset>
            </wp:positionH>
            <wp:positionV relativeFrom="paragraph">
              <wp:posOffset>140335</wp:posOffset>
            </wp:positionV>
            <wp:extent cx="6497955" cy="513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340"/>
        <w:spacing w:after="0" w:line="689" w:lineRule="exact"/>
        <w:tabs>
          <w:tab w:leader="none" w:pos="3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PAC-</w:t>
      </w:r>
      <w:r>
        <w:rPr>
          <w:rFonts w:ascii="黑体" w:cs="黑体" w:eastAsia="黑体" w:hAnsi="黑体"/>
          <w:sz w:val="56"/>
          <w:szCs w:val="56"/>
          <w:color w:val="auto"/>
        </w:rPr>
        <w:t>106</w:t>
      </w:r>
      <w:r>
        <w:rPr>
          <w:rFonts w:ascii="Arial" w:cs="Arial" w:eastAsia="Arial" w:hAnsi="Arial"/>
          <w:sz w:val="56"/>
          <w:szCs w:val="56"/>
          <w:color w:val="auto"/>
        </w:rPr>
        <w:t>G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6 个插槽全长卡紧凑式机箱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left="1880"/>
        <w:spacing w:after="0"/>
        <w:tabs>
          <w:tab w:leader="none" w:pos="25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COM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4"/>
          <w:szCs w:val="14"/>
          <w:color w:val="auto"/>
        </w:rPr>
        <w:t>LPT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186055</wp:posOffset>
            </wp:positionH>
            <wp:positionV relativeFrom="paragraph">
              <wp:posOffset>-13970</wp:posOffset>
            </wp:positionV>
            <wp:extent cx="6493510" cy="24752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8820"/>
        <w:spacing w:after="0" w:line="17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5"/>
          <w:szCs w:val="15"/>
          <w:color w:val="auto"/>
        </w:rPr>
        <w:t>上盖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5860"/>
        <w:spacing w:after="0" w:line="170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电源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LED</w:t>
      </w:r>
    </w:p>
    <w:p>
      <w:pPr>
        <w:ind w:left="5860"/>
        <w:spacing w:after="0" w:line="165" w:lineRule="exact"/>
        <w:tabs>
          <w:tab w:leader="none" w:pos="682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9"/>
          <w:szCs w:val="19"/>
          <w:color w:val="auto"/>
          <w:vertAlign w:val="subscript"/>
        </w:rPr>
        <w:t>重启键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8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cm </w:t>
      </w:r>
      <w:r>
        <w:rPr>
          <w:rFonts w:ascii="黑体" w:cs="黑体" w:eastAsia="黑体" w:hAnsi="黑体"/>
          <w:sz w:val="11"/>
          <w:szCs w:val="11"/>
          <w:color w:val="auto"/>
        </w:rPr>
        <w:t>散热风扇</w:t>
      </w:r>
    </w:p>
    <w:p>
      <w:pPr>
        <w:ind w:left="55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95580" cy="95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4"/>
          <w:szCs w:val="14"/>
          <w:color w:val="auto"/>
        </w:rPr>
        <w:t>HDD LED</w:t>
      </w:r>
    </w:p>
    <w:p>
      <w:pPr>
        <w:ind w:left="5600"/>
        <w:spacing w:after="0" w:line="315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88595" cy="1809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auto"/>
        </w:rPr>
        <w:t xml:space="preserve">2 </w:t>
      </w:r>
      <w:r>
        <w:rPr>
          <w:rFonts w:ascii="Arial" w:cs="Arial" w:eastAsia="Arial" w:hAnsi="Arial"/>
          <w:sz w:val="14"/>
          <w:szCs w:val="14"/>
          <w:color w:val="auto"/>
        </w:rPr>
        <w:t>x USB</w:t>
      </w:r>
      <w:r>
        <w:rPr>
          <w:rFonts w:ascii="黑体" w:cs="黑体" w:eastAsia="黑体" w:hAnsi="黑体"/>
          <w:sz w:val="14"/>
          <w:szCs w:val="14"/>
          <w:color w:val="auto"/>
        </w:rPr>
        <w:t xml:space="preserve"> 接口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left="5520"/>
        <w:spacing w:after="0" w:line="195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33680" cy="111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4"/>
          <w:szCs w:val="14"/>
          <w:color w:val="auto"/>
        </w:rPr>
        <w:t>电源开关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6040"/>
        <w:spacing w:after="0" w:line="18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5"/>
          <w:szCs w:val="15"/>
          <w:color w:val="auto"/>
        </w:rPr>
        <w:t>1</w:t>
      </w:r>
      <w:r>
        <w:rPr>
          <w:rFonts w:ascii="Arial" w:cs="Arial" w:eastAsia="Arial" w:hAnsi="Arial"/>
          <w:sz w:val="15"/>
          <w:szCs w:val="15"/>
          <w:color w:val="auto"/>
        </w:rPr>
        <w:t xml:space="preserve">U </w:t>
      </w:r>
      <w:r>
        <w:rPr>
          <w:rFonts w:ascii="黑体" w:cs="黑体" w:eastAsia="黑体" w:hAnsi="黑体"/>
          <w:sz w:val="15"/>
          <w:szCs w:val="15"/>
          <w:color w:val="auto"/>
        </w:rPr>
        <w:t>高度 电源</w:t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2120"/>
        <w:spacing w:after="0" w:line="18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5"/>
          <w:szCs w:val="15"/>
          <w:color w:val="FFFFFF"/>
        </w:rPr>
        <w:t>产品包装不包括</w:t>
      </w:r>
      <w:r>
        <w:rPr>
          <w:rFonts w:ascii="Arial" w:cs="Arial" w:eastAsia="Arial" w:hAnsi="Arial"/>
          <w:sz w:val="15"/>
          <w:szCs w:val="15"/>
          <w:color w:val="FFFFFF"/>
        </w:rPr>
        <w:t xml:space="preserve">FDD </w:t>
      </w:r>
      <w:r>
        <w:rPr>
          <w:rFonts w:ascii="黑体" w:cs="黑体" w:eastAsia="黑体" w:hAnsi="黑体"/>
          <w:sz w:val="15"/>
          <w:szCs w:val="15"/>
          <w:color w:val="FFFFFF"/>
        </w:rPr>
        <w:t>和</w:t>
      </w:r>
      <w:r>
        <w:rPr>
          <w:rFonts w:ascii="Arial" w:cs="Arial" w:eastAsia="Arial" w:hAnsi="Arial"/>
          <w:sz w:val="15"/>
          <w:szCs w:val="15"/>
          <w:color w:val="FFFFFF"/>
        </w:rPr>
        <w:t xml:space="preserve"> HDD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-125095</wp:posOffset>
                </wp:positionV>
                <wp:extent cx="2519680" cy="17970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rgbClr val="0C338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7.75pt;margin-top:-9.8499pt;width:198.4pt;height:1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C3388" stroked="f"/>
            </w:pict>
          </mc:Fallback>
        </mc:AlternateConten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1" w:lineRule="exact"/>
        <w:rPr>
          <w:sz w:val="24"/>
          <w:szCs w:val="24"/>
          <w:color w:val="auto"/>
        </w:rPr>
      </w:pPr>
    </w:p>
    <w:p>
      <w:pPr>
        <w:spacing w:after="0" w:line="17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5"/>
          <w:szCs w:val="15"/>
          <w:color w:val="auto"/>
        </w:rPr>
        <w:t>底板</w:t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800" w:space="720"/>
            <w:col w:w="4200"/>
          </w:cols>
          <w:pgMar w:left="600" w:top="138" w:right="586" w:bottom="0" w:gutter="0" w:footer="0" w:header="0"/>
          <w:type w:val="continuous"/>
        </w:sectPr>
      </w:pPr>
    </w:p>
    <w:p>
      <w:pPr>
        <w:jc w:val="right"/>
        <w:ind w:right="3360"/>
        <w:spacing w:after="0" w:line="18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5"/>
          <w:szCs w:val="15"/>
          <w:color w:val="auto"/>
        </w:rPr>
        <w:t>3</w:t>
      </w:r>
      <w:r>
        <w:rPr>
          <w:rFonts w:ascii="Arial" w:cs="Arial" w:eastAsia="Arial" w:hAnsi="Arial"/>
          <w:sz w:val="15"/>
          <w:szCs w:val="15"/>
          <w:color w:val="auto"/>
        </w:rPr>
        <w:t>.</w:t>
      </w:r>
      <w:r>
        <w:rPr>
          <w:rFonts w:ascii="黑体" w:cs="黑体" w:eastAsia="黑体" w:hAnsi="黑体"/>
          <w:sz w:val="15"/>
          <w:szCs w:val="15"/>
          <w:color w:val="auto"/>
        </w:rPr>
        <w:t>5”</w:t>
      </w:r>
      <w:r>
        <w:rPr>
          <w:rFonts w:ascii="Arial" w:cs="Arial" w:eastAsia="Arial" w:hAnsi="Arial"/>
          <w:sz w:val="15"/>
          <w:szCs w:val="15"/>
          <w:color w:val="auto"/>
        </w:rPr>
        <w:t xml:space="preserve"> </w:t>
      </w:r>
      <w:r>
        <w:rPr>
          <w:rFonts w:ascii="黑体" w:cs="黑体" w:eastAsia="黑体" w:hAnsi="黑体"/>
          <w:sz w:val="15"/>
          <w:szCs w:val="15"/>
          <w:color w:val="auto"/>
        </w:rPr>
        <w:t>驱动器支架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4" w:lineRule="exact"/>
        <w:rPr>
          <w:sz w:val="24"/>
          <w:szCs w:val="24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4320" w:type="dxa"/>
            <w:vAlign w:val="bottom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特性</w:t>
            </w:r>
          </w:p>
        </w:tc>
        <w:tc>
          <w:tcPr>
            <w:tcW w:w="1460" w:type="dxa"/>
            <w:vAlign w:val="bottom"/>
            <w:vMerge w:val="restart"/>
          </w:tcPr>
          <w:p>
            <w:pPr>
              <w:ind w:left="9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尺寸</w:t>
            </w:r>
          </w:p>
        </w:tc>
        <w:tc>
          <w:tcPr>
            <w:tcW w:w="1160" w:type="dxa"/>
            <w:vAlign w:val="bottom"/>
            <w:vMerge w:val="restart"/>
          </w:tcPr>
          <w:p>
            <w:pPr>
              <w:ind w:left="8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5"/>
              </w:rPr>
              <w:t xml:space="preserve">( 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  <w:w w:val="95"/>
              </w:rPr>
              <w:t>单位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5"/>
              </w:rPr>
              <w:t xml:space="preserve"> : </w:t>
            </w:r>
            <w:r>
              <w:rPr>
                <w:rFonts w:ascii="Arial" w:cs="Arial" w:eastAsia="Arial" w:hAnsi="Arial"/>
                <w:sz w:val="14"/>
                <w:szCs w:val="14"/>
                <w:i w:val="1"/>
                <w:iCs w:val="1"/>
                <w:color w:val="auto"/>
                <w:w w:val="95"/>
              </w:rPr>
              <w:t>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4320" w:type="dxa"/>
            <w:vAlign w:val="bottom"/>
            <w:vMerge w:val="restart"/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符合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RoHS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标准设计</w:t>
            </w:r>
          </w:p>
        </w:tc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43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4320" w:type="dxa"/>
            <w:vAlign w:val="bottom"/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前面板设有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2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USB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接口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4320" w:type="dxa"/>
            <w:vAlign w:val="bottom"/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1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3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.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5”驱动器和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1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个内置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3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.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5”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HDD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驱动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7"/>
        </w:trPr>
        <w:tc>
          <w:tcPr>
            <w:tcW w:w="4320" w:type="dxa"/>
            <w:vAlign w:val="bottom"/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●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1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个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8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cm </w:t>
            </w:r>
            <w:r>
              <w:rPr>
                <w:rFonts w:ascii="黑体" w:cs="黑体" w:eastAsia="黑体" w:hAnsi="黑体"/>
                <w:sz w:val="16"/>
                <w:szCs w:val="16"/>
                <w:color w:val="auto"/>
              </w:rPr>
              <w:t>冷却风扇</w:t>
            </w: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4396740</wp:posOffset>
            </wp:positionH>
            <wp:positionV relativeFrom="paragraph">
              <wp:posOffset>-516255</wp:posOffset>
            </wp:positionV>
            <wp:extent cx="1539875" cy="16281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62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139065</wp:posOffset>
            </wp:positionH>
            <wp:positionV relativeFrom="paragraph">
              <wp:posOffset>42545</wp:posOffset>
            </wp:positionV>
            <wp:extent cx="3180715" cy="33553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33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3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</w:tr>
      <w:tr>
        <w:trPr>
          <w:trHeight w:val="36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卡</w:t>
            </w:r>
          </w:p>
        </w:tc>
      </w:tr>
      <w:tr>
        <w:trPr>
          <w:trHeight w:val="34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Front-accessible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</w:p>
        </w:tc>
      </w:tr>
      <w:tr>
        <w:trPr>
          <w:trHeight w:val="154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194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</w:t>
            </w:r>
          </w:p>
        </w:tc>
      </w:tr>
      <w:tr>
        <w:trPr>
          <w:trHeight w:val="34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</w:tr>
      <w:tr>
        <w:trPr>
          <w:trHeight w:val="348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</w:t>
            </w:r>
          </w:p>
        </w:tc>
      </w:tr>
      <w:tr>
        <w:trPr>
          <w:trHeight w:val="345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</w:t>
            </w:r>
          </w:p>
        </w:tc>
      </w:tr>
      <w:tr>
        <w:trPr>
          <w:trHeight w:val="341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</w:tr>
      <w:tr>
        <w:trPr>
          <w:trHeight w:val="344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</w:tr>
      <w:tr>
        <w:trPr>
          <w:trHeight w:val="34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</w:tr>
      <w:tr>
        <w:trPr>
          <w:trHeight w:val="34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</w:tr>
      <w:tr>
        <w:trPr>
          <w:trHeight w:val="34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</w:tr>
      <w:tr>
        <w:trPr>
          <w:trHeight w:val="34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白色</w:t>
            </w:r>
          </w:p>
        </w:tc>
      </w:tr>
      <w:tr>
        <w:trPr>
          <w:trHeight w:val="348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</w:tr>
      <w:tr>
        <w:trPr>
          <w:trHeight w:val="348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166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175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mm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48895</wp:posOffset>
            </wp:positionV>
            <wp:extent cx="3168015" cy="7200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79" w:lineRule="exact"/>
        <w:rPr>
          <w:sz w:val="24"/>
          <w:szCs w:val="24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58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22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15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3220" w:type="dxa"/>
            <w:vAlign w:val="bottom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-slot full-size compact chassis, white,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 fan, with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20" w:type="dxa"/>
            <w:vAlign w:val="bottom"/>
            <w:vMerge w:val="restart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20" w:type="dxa"/>
            <w:vAlign w:val="bottom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20" w:type="dxa"/>
            <w:vAlign w:val="bottom"/>
            <w:shd w:val="clear" w:color="auto" w:fill="DBEEE4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5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3185795" cy="151828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78105</wp:posOffset>
            </wp:positionH>
            <wp:positionV relativeFrom="paragraph">
              <wp:posOffset>-1894205</wp:posOffset>
            </wp:positionV>
            <wp:extent cx="3022600" cy="146875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5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116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8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4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280" w:type="dxa"/>
            <w:vAlign w:val="bottom"/>
            <w:tcBorders>
              <w:top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7ECEF4"/>
            </w:tcBorders>
            <w:gridSpan w:val="2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PCle</w:t>
            </w:r>
          </w:p>
        </w:tc>
        <w:tc>
          <w:tcPr>
            <w:tcW w:w="3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SA-RS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¹PE-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¹PE-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16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88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16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D0121B"/>
        </w:rPr>
        <w:t>*</w:t>
      </w:r>
      <w:r>
        <w:rPr>
          <w:rFonts w:ascii="Arial" w:cs="Arial" w:eastAsia="Arial" w:hAnsi="Arial"/>
          <w:sz w:val="12"/>
          <w:szCs w:val="12"/>
          <w:color w:val="000000"/>
        </w:rPr>
        <w:t>Only R</w:t>
      </w:r>
      <w:r>
        <w:rPr>
          <w:rFonts w:ascii="黑体" w:cs="黑体" w:eastAsia="黑体" w:hAnsi="黑体"/>
          <w:sz w:val="12"/>
          <w:szCs w:val="12"/>
          <w:color w:val="000000"/>
        </w:rPr>
        <w:t>20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Arial" w:cs="Arial" w:eastAsia="Arial" w:hAnsi="Arial"/>
          <w:sz w:val="12"/>
          <w:szCs w:val="12"/>
          <w:color w:val="000000"/>
        </w:rPr>
        <w:t>or later versions support PICMG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000000"/>
        </w:rPr>
        <w:t>1</w:t>
      </w:r>
      <w:r>
        <w:rPr>
          <w:rFonts w:ascii="Arial" w:cs="Arial" w:eastAsia="Arial" w:hAnsi="Arial"/>
          <w:sz w:val="12"/>
          <w:szCs w:val="12"/>
          <w:color w:val="000000"/>
        </w:rPr>
        <w:t>.</w:t>
      </w:r>
      <w:r>
        <w:rPr>
          <w:rFonts w:ascii="黑体" w:cs="黑体" w:eastAsia="黑体" w:hAnsi="黑体"/>
          <w:sz w:val="12"/>
          <w:szCs w:val="12"/>
          <w:color w:val="000000"/>
        </w:rPr>
        <w:t>3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Arial" w:cs="Arial" w:eastAsia="Arial" w:hAnsi="Arial"/>
          <w:sz w:val="12"/>
          <w:szCs w:val="12"/>
          <w:color w:val="000000"/>
        </w:rPr>
        <w:t>backplane</w:t>
      </w:r>
    </w:p>
    <w:p>
      <w:pPr>
        <w:spacing w:after="0" w:line="224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40005</wp:posOffset>
            </wp:positionV>
            <wp:extent cx="3184525" cy="48069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5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ind w:left="7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功率</w:t>
            </w:r>
          </w:p>
        </w:tc>
      </w:tr>
      <w:tr>
        <w:trPr>
          <w:trHeight w:val="4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AP-RS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85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A-RS-R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11</w:t>
            </w: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</w:tcPr>
          <w:p>
            <w:pPr>
              <w:ind w:left="6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</w:tr>
      <w:tr>
        <w:trPr>
          <w:trHeight w:val="2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0" w:right="34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PAC-</w:t>
      </w:r>
      <w:r>
        <w:rPr>
          <w:rFonts w:ascii="黑体" w:cs="黑体" w:eastAsia="黑体" w:hAnsi="黑体"/>
          <w:sz w:val="12"/>
          <w:szCs w:val="12"/>
          <w:color w:val="auto"/>
        </w:rPr>
        <w:t>106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 xml:space="preserve">U </w:t>
      </w:r>
      <w:r>
        <w:rPr>
          <w:rFonts w:ascii="黑体" w:cs="黑体" w:eastAsia="黑体" w:hAnsi="黑体"/>
          <w:sz w:val="12"/>
          <w:szCs w:val="12"/>
          <w:color w:val="auto"/>
        </w:rPr>
        <w:t>高度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PSU</w:t>
      </w:r>
      <w:r>
        <w:rPr>
          <w:rFonts w:ascii="黑体" w:cs="黑体" w:eastAsia="黑体" w:hAnsi="黑体"/>
          <w:sz w:val="12"/>
          <w:szCs w:val="12"/>
          <w:color w:val="auto"/>
        </w:rPr>
        <w:t>。想了解威强电更多的电源产品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115570</wp:posOffset>
            </wp:positionV>
            <wp:extent cx="7560310" cy="3206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3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180" w:space="280"/>
            <w:col w:w="526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PAC-</w:t>
      </w:r>
      <w:r>
        <w:rPr>
          <w:rFonts w:ascii="黑体" w:cs="黑体" w:eastAsia="黑体" w:hAnsi="黑体"/>
          <w:sz w:val="16"/>
          <w:szCs w:val="16"/>
          <w:color w:val="FFFFFF"/>
        </w:rPr>
        <w:t>106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102870</wp:posOffset>
            </wp:positionV>
            <wp:extent cx="4763" cy="4763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2019-11-19T10:32:52Z</dcterms:created>
  <dcterms:modified xsi:type="dcterms:W3CDTF">2019-11-19T10:32:52Z</dcterms:modified>
</cp:coreProperties>
</file>